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F38" w:rsidRDefault="00D41F38" w:rsidP="00D41F38">
      <w:pPr>
        <w:pStyle w:val="a3"/>
        <w:spacing w:line="360" w:lineRule="auto"/>
        <w:ind w:left="0" w:firstLine="567"/>
        <w:jc w:val="both"/>
        <w:rPr>
          <w:rFonts w:ascii="Times New Roman" w:hAnsi="Times New Roman"/>
          <w:b/>
          <w:sz w:val="32"/>
          <w:szCs w:val="32"/>
        </w:rPr>
      </w:pPr>
    </w:p>
    <w:p w:rsidR="005C0305" w:rsidRPr="00CB127C" w:rsidRDefault="005C0305" w:rsidP="00D41F38">
      <w:pPr>
        <w:pStyle w:val="a3"/>
        <w:spacing w:line="360" w:lineRule="auto"/>
        <w:ind w:left="0" w:firstLine="567"/>
        <w:jc w:val="both"/>
        <w:rPr>
          <w:rFonts w:ascii="Times New Roman" w:hAnsi="Times New Roman"/>
          <w:b/>
          <w:sz w:val="28"/>
          <w:szCs w:val="28"/>
        </w:rPr>
      </w:pPr>
      <w:bookmarkStart w:id="0" w:name="_GoBack"/>
      <w:bookmarkEnd w:id="0"/>
    </w:p>
    <w:p w:rsidR="00D41F38" w:rsidRDefault="00F009B5" w:rsidP="00F009B5">
      <w:pPr>
        <w:pStyle w:val="a3"/>
        <w:spacing w:line="360" w:lineRule="auto"/>
        <w:ind w:left="1287"/>
        <w:rPr>
          <w:rFonts w:ascii="Times New Roman" w:hAnsi="Times New Roman"/>
          <w:b/>
          <w:sz w:val="28"/>
          <w:szCs w:val="28"/>
        </w:rPr>
      </w:pPr>
      <w:r>
        <w:rPr>
          <w:rFonts w:ascii="Times New Roman" w:hAnsi="Times New Roman"/>
          <w:b/>
          <w:sz w:val="28"/>
          <w:szCs w:val="28"/>
        </w:rPr>
        <w:t xml:space="preserve">                         </w:t>
      </w:r>
      <w:r w:rsidRPr="00F23C84">
        <w:rPr>
          <w:rFonts w:ascii="Times New Roman" w:hAnsi="Times New Roman"/>
          <w:b/>
          <w:sz w:val="28"/>
          <w:szCs w:val="28"/>
          <w:lang w:val="en-US"/>
        </w:rPr>
        <w:t>I</w:t>
      </w:r>
      <w:r>
        <w:rPr>
          <w:rFonts w:ascii="Times New Roman" w:hAnsi="Times New Roman"/>
          <w:b/>
          <w:sz w:val="28"/>
          <w:szCs w:val="28"/>
        </w:rPr>
        <w:t xml:space="preserve">. </w:t>
      </w:r>
      <w:r w:rsidR="00D41F38" w:rsidRPr="00F23C84">
        <w:rPr>
          <w:rFonts w:ascii="Times New Roman" w:hAnsi="Times New Roman"/>
          <w:b/>
          <w:sz w:val="28"/>
          <w:szCs w:val="28"/>
        </w:rPr>
        <w:t>Краткая характеристика</w:t>
      </w:r>
    </w:p>
    <w:p w:rsidR="001A7807" w:rsidRPr="001A7807" w:rsidRDefault="001A7807" w:rsidP="00840AA2">
      <w:pPr>
        <w:spacing w:after="0" w:line="360" w:lineRule="auto"/>
        <w:jc w:val="both"/>
        <w:rPr>
          <w:rFonts w:ascii="Times New Roman" w:hAnsi="Times New Roman"/>
          <w:sz w:val="28"/>
          <w:szCs w:val="28"/>
        </w:rPr>
      </w:pPr>
      <w:r>
        <w:rPr>
          <w:rFonts w:ascii="Times New Roman" w:hAnsi="Times New Roman"/>
          <w:sz w:val="28"/>
          <w:szCs w:val="28"/>
        </w:rPr>
        <w:t xml:space="preserve">        </w:t>
      </w:r>
      <w:r w:rsidR="00540F3E">
        <w:rPr>
          <w:rFonts w:ascii="Times New Roman" w:hAnsi="Times New Roman"/>
          <w:sz w:val="28"/>
          <w:szCs w:val="28"/>
        </w:rPr>
        <w:t>Шарангский округ</w:t>
      </w:r>
      <w:r w:rsidRPr="001A7807">
        <w:rPr>
          <w:rFonts w:ascii="Times New Roman" w:hAnsi="Times New Roman"/>
          <w:sz w:val="28"/>
          <w:szCs w:val="28"/>
        </w:rPr>
        <w:t xml:space="preserve"> расположен в северо-восточной части Нижег</w:t>
      </w:r>
      <w:r w:rsidR="006A1127">
        <w:rPr>
          <w:rFonts w:ascii="Times New Roman" w:hAnsi="Times New Roman"/>
          <w:sz w:val="28"/>
          <w:szCs w:val="28"/>
        </w:rPr>
        <w:t>ородской области. Площадь округа</w:t>
      </w:r>
      <w:r w:rsidRPr="001A7807">
        <w:rPr>
          <w:rFonts w:ascii="Times New Roman" w:hAnsi="Times New Roman"/>
          <w:sz w:val="28"/>
          <w:szCs w:val="28"/>
        </w:rPr>
        <w:t xml:space="preserve"> составляет 159,5 тыс. га, </w:t>
      </w:r>
      <w:r w:rsidR="00540F3E">
        <w:rPr>
          <w:rFonts w:ascii="Times New Roman" w:hAnsi="Times New Roman"/>
          <w:sz w:val="28"/>
          <w:szCs w:val="28"/>
        </w:rPr>
        <w:t xml:space="preserve">лесами занято 85,9 тыс.га. </w:t>
      </w:r>
      <w:r w:rsidR="006A1127">
        <w:rPr>
          <w:rFonts w:ascii="Times New Roman" w:hAnsi="Times New Roman"/>
          <w:sz w:val="28"/>
          <w:szCs w:val="28"/>
        </w:rPr>
        <w:t>Шарангский муниципальный о</w:t>
      </w:r>
      <w:r w:rsidR="00540F3E">
        <w:rPr>
          <w:rFonts w:ascii="Times New Roman" w:hAnsi="Times New Roman"/>
          <w:sz w:val="28"/>
          <w:szCs w:val="28"/>
        </w:rPr>
        <w:t>круг</w:t>
      </w:r>
      <w:r w:rsidRPr="001A7807">
        <w:rPr>
          <w:rFonts w:ascii="Times New Roman" w:hAnsi="Times New Roman"/>
          <w:sz w:val="28"/>
          <w:szCs w:val="28"/>
        </w:rPr>
        <w:t xml:space="preserve"> граничит н</w:t>
      </w:r>
      <w:r w:rsidR="006A1127">
        <w:rPr>
          <w:rFonts w:ascii="Times New Roman" w:hAnsi="Times New Roman"/>
          <w:sz w:val="28"/>
          <w:szCs w:val="28"/>
        </w:rPr>
        <w:t>а западе с Воскресенским районом</w:t>
      </w:r>
      <w:r w:rsidRPr="001A7807">
        <w:rPr>
          <w:rFonts w:ascii="Times New Roman" w:hAnsi="Times New Roman"/>
          <w:sz w:val="28"/>
          <w:szCs w:val="28"/>
        </w:rPr>
        <w:t xml:space="preserve">, на северо-западе – с Тонкинским районом, республикой Марий - Эл – на юге и с Кировской областью  - на востоке. Административным центром является р.п. Шаранга. </w:t>
      </w:r>
    </w:p>
    <w:p w:rsidR="00D41F38" w:rsidRPr="00F23C84" w:rsidRDefault="001A7807" w:rsidP="00840AA2">
      <w:pPr>
        <w:pStyle w:val="a3"/>
        <w:spacing w:after="0" w:line="360" w:lineRule="auto"/>
        <w:ind w:left="0"/>
        <w:jc w:val="both"/>
        <w:rPr>
          <w:rFonts w:ascii="Times New Roman" w:hAnsi="Times New Roman"/>
          <w:sz w:val="28"/>
          <w:szCs w:val="28"/>
        </w:rPr>
      </w:pPr>
      <w:r>
        <w:rPr>
          <w:rFonts w:ascii="Times New Roman" w:hAnsi="Times New Roman"/>
          <w:b/>
          <w:sz w:val="28"/>
          <w:szCs w:val="28"/>
        </w:rPr>
        <w:t xml:space="preserve">      </w:t>
      </w:r>
      <w:r w:rsidR="00D41F38" w:rsidRPr="0070309E">
        <w:rPr>
          <w:rFonts w:ascii="Times New Roman" w:hAnsi="Times New Roman"/>
          <w:sz w:val="28"/>
          <w:szCs w:val="28"/>
        </w:rPr>
        <w:t>Численно</w:t>
      </w:r>
      <w:r w:rsidR="00F559AD" w:rsidRPr="0070309E">
        <w:rPr>
          <w:rFonts w:ascii="Times New Roman" w:hAnsi="Times New Roman"/>
          <w:sz w:val="28"/>
          <w:szCs w:val="28"/>
        </w:rPr>
        <w:t>сть постоянного населения округа</w:t>
      </w:r>
      <w:r w:rsidR="00D41F38" w:rsidRPr="0070309E">
        <w:rPr>
          <w:rFonts w:ascii="Times New Roman" w:hAnsi="Times New Roman"/>
          <w:sz w:val="28"/>
          <w:szCs w:val="28"/>
        </w:rPr>
        <w:t xml:space="preserve"> с</w:t>
      </w:r>
      <w:r w:rsidR="00F559AD" w:rsidRPr="0070309E">
        <w:rPr>
          <w:rFonts w:ascii="Times New Roman" w:hAnsi="Times New Roman"/>
          <w:sz w:val="28"/>
          <w:szCs w:val="28"/>
        </w:rPr>
        <w:t>оставляет на 01.01.2022 г. 11115</w:t>
      </w:r>
      <w:r w:rsidR="00D41F38" w:rsidRPr="0070309E">
        <w:rPr>
          <w:rFonts w:ascii="Times New Roman" w:hAnsi="Times New Roman"/>
          <w:sz w:val="28"/>
          <w:szCs w:val="28"/>
        </w:rPr>
        <w:t xml:space="preserve">  человек, в</w:t>
      </w:r>
      <w:r w:rsidR="00F559AD" w:rsidRPr="0070309E">
        <w:rPr>
          <w:rFonts w:ascii="Times New Roman" w:hAnsi="Times New Roman"/>
          <w:sz w:val="28"/>
          <w:szCs w:val="28"/>
        </w:rPr>
        <w:t xml:space="preserve"> том числе в р.п. Шаранга – 6578</w:t>
      </w:r>
      <w:r w:rsidR="00D41F38" w:rsidRPr="0070309E">
        <w:rPr>
          <w:rFonts w:ascii="Times New Roman" w:hAnsi="Times New Roman"/>
          <w:sz w:val="28"/>
          <w:szCs w:val="28"/>
        </w:rPr>
        <w:t xml:space="preserve"> человек.</w:t>
      </w:r>
    </w:p>
    <w:p w:rsidR="00046605" w:rsidRPr="00F23C84" w:rsidRDefault="00046605" w:rsidP="00840AA2">
      <w:pPr>
        <w:pStyle w:val="a3"/>
        <w:spacing w:after="0" w:line="360" w:lineRule="auto"/>
        <w:ind w:left="0" w:firstLine="567"/>
        <w:jc w:val="both"/>
        <w:rPr>
          <w:rFonts w:ascii="Times New Roman" w:hAnsi="Times New Roman"/>
          <w:sz w:val="28"/>
          <w:szCs w:val="28"/>
        </w:rPr>
      </w:pPr>
    </w:p>
    <w:p w:rsidR="00046605" w:rsidRPr="00F23C84" w:rsidRDefault="00C4495F" w:rsidP="00840AA2">
      <w:pPr>
        <w:pStyle w:val="a3"/>
        <w:spacing w:after="0" w:line="360" w:lineRule="auto"/>
        <w:ind w:left="0" w:firstLine="567"/>
        <w:jc w:val="center"/>
        <w:rPr>
          <w:rFonts w:ascii="Times New Roman" w:hAnsi="Times New Roman"/>
          <w:b/>
          <w:sz w:val="28"/>
          <w:szCs w:val="28"/>
        </w:rPr>
      </w:pPr>
      <w:r w:rsidRPr="00F23C84">
        <w:rPr>
          <w:rFonts w:ascii="Times New Roman" w:hAnsi="Times New Roman"/>
          <w:b/>
          <w:sz w:val="28"/>
          <w:szCs w:val="28"/>
          <w:lang w:val="en-US"/>
        </w:rPr>
        <w:t>II</w:t>
      </w:r>
      <w:r w:rsidRPr="00F23C84">
        <w:rPr>
          <w:rFonts w:ascii="Times New Roman" w:hAnsi="Times New Roman"/>
          <w:b/>
          <w:sz w:val="28"/>
          <w:szCs w:val="28"/>
        </w:rPr>
        <w:t>.</w:t>
      </w:r>
      <w:r w:rsidR="00046605" w:rsidRPr="00F23C84">
        <w:rPr>
          <w:rFonts w:ascii="Times New Roman" w:hAnsi="Times New Roman"/>
          <w:b/>
          <w:sz w:val="28"/>
          <w:szCs w:val="28"/>
        </w:rPr>
        <w:t>Экономическое развитие</w:t>
      </w:r>
    </w:p>
    <w:p w:rsidR="007F6F53" w:rsidRDefault="007F6F53" w:rsidP="00840AA2">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По уровню социально-экономического развити</w:t>
      </w:r>
      <w:r w:rsidR="00840AA2">
        <w:rPr>
          <w:rFonts w:ascii="Times New Roman" w:hAnsi="Times New Roman" w:cs="Times New Roman"/>
          <w:bCs/>
          <w:color w:val="000000"/>
          <w:sz w:val="28"/>
          <w:szCs w:val="28"/>
        </w:rPr>
        <w:t>я Шарангский муниципальный район</w:t>
      </w:r>
      <w:r>
        <w:rPr>
          <w:rFonts w:ascii="Times New Roman" w:hAnsi="Times New Roman" w:cs="Times New Roman"/>
          <w:bCs/>
          <w:color w:val="000000"/>
          <w:sz w:val="28"/>
          <w:szCs w:val="28"/>
        </w:rPr>
        <w:t xml:space="preserve"> относится к группе территорий со средним уровнем развития.</w:t>
      </w:r>
    </w:p>
    <w:p w:rsidR="007F6F53" w:rsidRDefault="007F6F53" w:rsidP="00840AA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Основой </w:t>
      </w:r>
      <w:r w:rsidR="00840AA2">
        <w:rPr>
          <w:rFonts w:ascii="Times New Roman" w:hAnsi="Times New Roman" w:cs="Times New Roman"/>
          <w:color w:val="000000"/>
          <w:sz w:val="28"/>
          <w:szCs w:val="28"/>
        </w:rPr>
        <w:t>экономического потенциала района</w:t>
      </w:r>
      <w:r>
        <w:rPr>
          <w:rFonts w:ascii="Times New Roman" w:hAnsi="Times New Roman" w:cs="Times New Roman"/>
          <w:color w:val="000000"/>
          <w:sz w:val="28"/>
          <w:szCs w:val="28"/>
        </w:rPr>
        <w:t xml:space="preserve"> являются сельское хозяйство, деревообрабатывающая и пищевая промышленность. </w:t>
      </w:r>
    </w:p>
    <w:p w:rsidR="007F6F53" w:rsidRPr="00CA735A" w:rsidRDefault="007F6F53" w:rsidP="00840AA2">
      <w:pPr>
        <w:pStyle w:val="a4"/>
        <w:spacing w:after="200" w:line="360" w:lineRule="auto"/>
        <w:ind w:firstLine="510"/>
        <w:jc w:val="both"/>
        <w:rPr>
          <w:b/>
          <w:color w:val="000000"/>
          <w:sz w:val="28"/>
          <w:szCs w:val="28"/>
        </w:rPr>
      </w:pPr>
      <w:r>
        <w:rPr>
          <w:color w:val="000000"/>
          <w:sz w:val="28"/>
          <w:szCs w:val="28"/>
        </w:rPr>
        <w:t xml:space="preserve">Объем отгруженной продукции, работ, услуг по полному кругу предприятий и организаций за 2022 год составил </w:t>
      </w:r>
      <w:r w:rsidRPr="007F6F53">
        <w:rPr>
          <w:color w:val="000000"/>
          <w:sz w:val="28"/>
          <w:szCs w:val="28"/>
        </w:rPr>
        <w:t>1млрд. 970 млн. рублей,</w:t>
      </w:r>
      <w:r>
        <w:rPr>
          <w:color w:val="000000"/>
          <w:sz w:val="28"/>
          <w:szCs w:val="28"/>
        </w:rPr>
        <w:t xml:space="preserve"> рост к 2021 году составил  </w:t>
      </w:r>
      <w:r>
        <w:rPr>
          <w:b/>
          <w:color w:val="000000"/>
          <w:sz w:val="28"/>
          <w:szCs w:val="28"/>
        </w:rPr>
        <w:t>22 %</w:t>
      </w:r>
      <w:r w:rsidR="00CA735A">
        <w:rPr>
          <w:b/>
          <w:color w:val="000000"/>
          <w:sz w:val="28"/>
          <w:szCs w:val="28"/>
        </w:rPr>
        <w:t xml:space="preserve">. </w:t>
      </w:r>
      <w:r>
        <w:rPr>
          <w:sz w:val="28"/>
          <w:szCs w:val="28"/>
        </w:rPr>
        <w:t xml:space="preserve">В валовом объеме материального производства промышленная отрасль </w:t>
      </w:r>
      <w:r w:rsidR="00CA735A">
        <w:rPr>
          <w:sz w:val="28"/>
          <w:szCs w:val="28"/>
        </w:rPr>
        <w:t>з</w:t>
      </w:r>
      <w:r>
        <w:rPr>
          <w:sz w:val="28"/>
          <w:szCs w:val="28"/>
        </w:rPr>
        <w:t xml:space="preserve">анимает </w:t>
      </w:r>
      <w:r>
        <w:rPr>
          <w:b/>
          <w:sz w:val="28"/>
          <w:szCs w:val="28"/>
        </w:rPr>
        <w:t>43,8%,</w:t>
      </w:r>
      <w:r>
        <w:rPr>
          <w:sz w:val="28"/>
          <w:szCs w:val="28"/>
        </w:rPr>
        <w:t xml:space="preserve"> сельское хозяйство – </w:t>
      </w:r>
      <w:r>
        <w:rPr>
          <w:b/>
          <w:sz w:val="28"/>
          <w:szCs w:val="28"/>
        </w:rPr>
        <w:t>27,9%.</w:t>
      </w:r>
      <w:r>
        <w:rPr>
          <w:sz w:val="28"/>
          <w:szCs w:val="28"/>
        </w:rPr>
        <w:t xml:space="preserve">  </w:t>
      </w:r>
    </w:p>
    <w:p w:rsidR="00066A1B" w:rsidRDefault="00CA735A" w:rsidP="00840A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3E3C">
        <w:rPr>
          <w:rFonts w:ascii="Times New Roman" w:hAnsi="Times New Roman" w:cs="Times New Roman"/>
          <w:sz w:val="28"/>
          <w:szCs w:val="28"/>
        </w:rPr>
        <w:t xml:space="preserve">Одним из важнейших показателей уровня жизни населения  остается заработная плата и своевременность ее выплаты. </w:t>
      </w:r>
    </w:p>
    <w:p w:rsidR="004F3E3C" w:rsidRDefault="004F3E3C" w:rsidP="00840AA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 району среднемесячная  зарплата  за 2022 год  в расчете на одного работника по сравнению с 2021 годом увеличилась </w:t>
      </w:r>
      <w:r w:rsidR="004F08CD">
        <w:rPr>
          <w:rFonts w:ascii="Times New Roman" w:hAnsi="Times New Roman" w:cs="Times New Roman"/>
          <w:b/>
          <w:sz w:val="28"/>
          <w:szCs w:val="28"/>
        </w:rPr>
        <w:t>на 14,9</w:t>
      </w:r>
      <w:r>
        <w:rPr>
          <w:rFonts w:ascii="Times New Roman" w:hAnsi="Times New Roman" w:cs="Times New Roman"/>
          <w:b/>
          <w:sz w:val="28"/>
          <w:szCs w:val="28"/>
        </w:rPr>
        <w:t xml:space="preserve"> %  и состави</w:t>
      </w:r>
      <w:r w:rsidR="006A1127">
        <w:rPr>
          <w:rFonts w:ascii="Times New Roman" w:hAnsi="Times New Roman" w:cs="Times New Roman"/>
          <w:b/>
          <w:sz w:val="28"/>
          <w:szCs w:val="28"/>
        </w:rPr>
        <w:t>ла  30246</w:t>
      </w:r>
      <w:r w:rsidR="004F08CD">
        <w:rPr>
          <w:rFonts w:ascii="Times New Roman" w:hAnsi="Times New Roman" w:cs="Times New Roman"/>
          <w:b/>
          <w:sz w:val="28"/>
          <w:szCs w:val="28"/>
        </w:rPr>
        <w:t xml:space="preserve">  рублей</w:t>
      </w:r>
      <w:r>
        <w:rPr>
          <w:rFonts w:ascii="Times New Roman" w:hAnsi="Times New Roman" w:cs="Times New Roman"/>
          <w:b/>
          <w:sz w:val="28"/>
          <w:szCs w:val="28"/>
        </w:rPr>
        <w:t>.</w:t>
      </w:r>
      <w:r>
        <w:rPr>
          <w:rFonts w:ascii="Times New Roman" w:hAnsi="Times New Roman" w:cs="Times New Roman"/>
          <w:sz w:val="28"/>
          <w:szCs w:val="28"/>
        </w:rPr>
        <w:t xml:space="preserve"> </w:t>
      </w:r>
    </w:p>
    <w:p w:rsidR="00FA5861" w:rsidRDefault="009A58E3" w:rsidP="00840AA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66A1B" w:rsidRPr="00066A1B">
        <w:rPr>
          <w:rFonts w:ascii="Times New Roman" w:hAnsi="Times New Roman" w:cs="Times New Roman"/>
          <w:sz w:val="28"/>
          <w:szCs w:val="28"/>
        </w:rPr>
        <w:t xml:space="preserve">Среднемесячная заработная плата педагогических работников в 2022 году составила </w:t>
      </w:r>
      <w:r w:rsidR="004F08CD">
        <w:rPr>
          <w:rFonts w:ascii="Times New Roman" w:hAnsi="Times New Roman" w:cs="Times New Roman"/>
          <w:sz w:val="28"/>
          <w:szCs w:val="28"/>
        </w:rPr>
        <w:t>40614</w:t>
      </w:r>
      <w:r w:rsidR="00066A1B" w:rsidRPr="00066A1B">
        <w:rPr>
          <w:rFonts w:ascii="Times New Roman" w:hAnsi="Times New Roman" w:cs="Times New Roman"/>
          <w:sz w:val="28"/>
          <w:szCs w:val="28"/>
        </w:rPr>
        <w:t xml:space="preserve"> руб. </w:t>
      </w:r>
      <w:r w:rsidR="004F08CD">
        <w:rPr>
          <w:rFonts w:ascii="Times New Roman" w:hAnsi="Times New Roman" w:cs="Times New Roman"/>
          <w:sz w:val="28"/>
          <w:szCs w:val="28"/>
        </w:rPr>
        <w:t>(в прошлом году – 36 тысяч 073 руб). Рост на  13</w:t>
      </w:r>
      <w:r w:rsidR="00066A1B" w:rsidRPr="00066A1B">
        <w:rPr>
          <w:rFonts w:ascii="Times New Roman" w:hAnsi="Times New Roman" w:cs="Times New Roman"/>
          <w:sz w:val="28"/>
          <w:szCs w:val="28"/>
        </w:rPr>
        <w:t>%</w:t>
      </w:r>
    </w:p>
    <w:p w:rsidR="00066A1B" w:rsidRDefault="00E16590" w:rsidP="00E165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66A1B">
        <w:rPr>
          <w:rFonts w:ascii="Times New Roman" w:hAnsi="Times New Roman" w:cs="Times New Roman"/>
          <w:sz w:val="28"/>
          <w:szCs w:val="28"/>
        </w:rPr>
        <w:t>Средний уровень  заработной  платы в сельхозпредприятиях составляет  24,7 тысячи рублей (в 2021 году 23,5 тысячи рублей).</w:t>
      </w:r>
    </w:p>
    <w:p w:rsidR="009A58E3" w:rsidRDefault="006A1127" w:rsidP="00840AA2">
      <w:pPr>
        <w:spacing w:line="360" w:lineRule="auto"/>
        <w:rPr>
          <w:rFonts w:ascii="Times New Roman" w:hAnsi="Times New Roman" w:cs="Times New Roman"/>
          <w:color w:val="000000"/>
          <w:sz w:val="28"/>
          <w:szCs w:val="28"/>
        </w:rPr>
      </w:pPr>
      <w:r>
        <w:rPr>
          <w:rFonts w:ascii="Times New Roman" w:hAnsi="Times New Roman" w:cs="Times New Roman"/>
          <w:sz w:val="28"/>
          <w:szCs w:val="28"/>
        </w:rPr>
        <w:t xml:space="preserve">       </w:t>
      </w:r>
      <w:r w:rsidR="009A58E3">
        <w:rPr>
          <w:rFonts w:ascii="Times New Roman" w:hAnsi="Times New Roman" w:cs="Times New Roman"/>
          <w:color w:val="000000"/>
          <w:sz w:val="28"/>
          <w:szCs w:val="28"/>
        </w:rPr>
        <w:t xml:space="preserve"> - Средняя заработная плата в жилищно - ком</w:t>
      </w:r>
      <w:r w:rsidR="00840AA2">
        <w:rPr>
          <w:rFonts w:ascii="Times New Roman" w:hAnsi="Times New Roman" w:cs="Times New Roman"/>
          <w:color w:val="000000"/>
          <w:sz w:val="28"/>
          <w:szCs w:val="28"/>
        </w:rPr>
        <w:t>м</w:t>
      </w:r>
      <w:r w:rsidR="009A58E3">
        <w:rPr>
          <w:rFonts w:ascii="Times New Roman" w:hAnsi="Times New Roman" w:cs="Times New Roman"/>
          <w:color w:val="000000"/>
          <w:sz w:val="28"/>
          <w:szCs w:val="28"/>
        </w:rPr>
        <w:t>унальном хозяйстве за 2022 год составила 27 480 тыс.</w:t>
      </w:r>
      <w:r w:rsidR="00840AA2">
        <w:rPr>
          <w:rFonts w:ascii="Times New Roman" w:hAnsi="Times New Roman" w:cs="Times New Roman"/>
          <w:color w:val="000000"/>
          <w:sz w:val="28"/>
          <w:szCs w:val="28"/>
        </w:rPr>
        <w:t xml:space="preserve"> </w:t>
      </w:r>
      <w:r w:rsidR="009A58E3">
        <w:rPr>
          <w:rFonts w:ascii="Times New Roman" w:hAnsi="Times New Roman" w:cs="Times New Roman"/>
          <w:color w:val="000000"/>
          <w:sz w:val="28"/>
          <w:szCs w:val="28"/>
        </w:rPr>
        <w:t>руб. 19 коп. (в  прошлом году 22 тысячи)</w:t>
      </w:r>
    </w:p>
    <w:p w:rsidR="00066A1B" w:rsidRDefault="006A1127" w:rsidP="006A11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6590">
        <w:rPr>
          <w:rFonts w:ascii="Times New Roman" w:hAnsi="Times New Roman" w:cs="Times New Roman"/>
          <w:sz w:val="28"/>
          <w:szCs w:val="28"/>
        </w:rPr>
        <w:t xml:space="preserve">- </w:t>
      </w:r>
      <w:r w:rsidR="00C4495F" w:rsidRPr="00C4495F">
        <w:rPr>
          <w:rFonts w:ascii="Times New Roman" w:hAnsi="Times New Roman" w:cs="Times New Roman"/>
          <w:sz w:val="28"/>
          <w:szCs w:val="28"/>
        </w:rPr>
        <w:t>Размер средней заработной платы работников муниципальных учреждений кул</w:t>
      </w:r>
      <w:r w:rsidR="00324E84">
        <w:rPr>
          <w:rFonts w:ascii="Times New Roman" w:hAnsi="Times New Roman" w:cs="Times New Roman"/>
          <w:sz w:val="28"/>
          <w:szCs w:val="28"/>
        </w:rPr>
        <w:t>ьтуры Шарангского района за 2022</w:t>
      </w:r>
      <w:r w:rsidR="00C4495F" w:rsidRPr="00C4495F">
        <w:rPr>
          <w:rFonts w:ascii="Times New Roman" w:hAnsi="Times New Roman" w:cs="Times New Roman"/>
          <w:sz w:val="28"/>
          <w:szCs w:val="28"/>
        </w:rPr>
        <w:t xml:space="preserve"> </w:t>
      </w:r>
      <w:r w:rsidR="00324E84">
        <w:rPr>
          <w:rFonts w:ascii="Times New Roman" w:hAnsi="Times New Roman" w:cs="Times New Roman"/>
          <w:sz w:val="28"/>
          <w:szCs w:val="28"/>
        </w:rPr>
        <w:t xml:space="preserve">год  </w:t>
      </w:r>
      <w:r w:rsidR="004F08CD">
        <w:rPr>
          <w:rFonts w:ascii="Times New Roman" w:hAnsi="Times New Roman" w:cs="Times New Roman"/>
          <w:sz w:val="28"/>
          <w:szCs w:val="28"/>
        </w:rPr>
        <w:t xml:space="preserve"> составил   42 тыс. 152</w:t>
      </w:r>
      <w:r w:rsidR="00C4495F" w:rsidRPr="00C4495F">
        <w:rPr>
          <w:rFonts w:ascii="Times New Roman" w:hAnsi="Times New Roman" w:cs="Times New Roman"/>
          <w:sz w:val="28"/>
          <w:szCs w:val="28"/>
        </w:rPr>
        <w:t xml:space="preserve"> рубля, </w:t>
      </w:r>
      <w:r w:rsidR="004F08CD">
        <w:rPr>
          <w:rFonts w:ascii="Times New Roman" w:hAnsi="Times New Roman" w:cs="Times New Roman"/>
          <w:sz w:val="28"/>
          <w:szCs w:val="28"/>
        </w:rPr>
        <w:t>рост к прошлому году на 19 %.</w:t>
      </w:r>
    </w:p>
    <w:p w:rsidR="004F08CD" w:rsidRDefault="004F08CD" w:rsidP="004F08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Размер средней заработной платы работников муниципальных учреждений физической культуры и спорта в 2022 году – 25 тыс. 233 рубля, рост к прошлому году на 16,5%.</w:t>
      </w:r>
    </w:p>
    <w:p w:rsidR="004F08CD" w:rsidRDefault="004F08CD" w:rsidP="004F08CD">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4F3E3C" w:rsidRPr="004F08CD">
        <w:rPr>
          <w:rFonts w:ascii="Times New Roman" w:hAnsi="Times New Roman" w:cs="Times New Roman"/>
          <w:sz w:val="28"/>
          <w:szCs w:val="28"/>
        </w:rPr>
        <w:t xml:space="preserve">Индикатором благополучия населения является потребительский рынок. По-прежнему  торговля - это одна из самых динамично развивающихся сфер экономики района. Розничный  товарооборот  в  целом  по  району  по  сравнению  с  2021  годом  увеличился  </w:t>
      </w:r>
      <w:r w:rsidR="004F3E3C" w:rsidRPr="00E16590">
        <w:rPr>
          <w:rFonts w:ascii="Times New Roman" w:hAnsi="Times New Roman" w:cs="Times New Roman"/>
          <w:sz w:val="28"/>
          <w:szCs w:val="28"/>
        </w:rPr>
        <w:t>на  9,5 %</w:t>
      </w:r>
      <w:r w:rsidR="004F3E3C" w:rsidRPr="004F08CD">
        <w:rPr>
          <w:rFonts w:ascii="Times New Roman" w:hAnsi="Times New Roman" w:cs="Times New Roman"/>
          <w:sz w:val="28"/>
          <w:szCs w:val="28"/>
        </w:rPr>
        <w:t xml:space="preserve"> и составил  </w:t>
      </w:r>
      <w:r w:rsidR="004F3E3C" w:rsidRPr="00E16590">
        <w:rPr>
          <w:rFonts w:ascii="Times New Roman" w:hAnsi="Times New Roman" w:cs="Times New Roman"/>
          <w:sz w:val="28"/>
          <w:szCs w:val="28"/>
        </w:rPr>
        <w:t>один миллиард</w:t>
      </w:r>
      <w:r w:rsidR="004F3E3C" w:rsidRPr="004F08CD">
        <w:rPr>
          <w:rFonts w:ascii="Times New Roman" w:hAnsi="Times New Roman" w:cs="Times New Roman"/>
          <w:b/>
          <w:sz w:val="28"/>
          <w:szCs w:val="28"/>
        </w:rPr>
        <w:t xml:space="preserve">  </w:t>
      </w:r>
      <w:r w:rsidR="004F3E3C" w:rsidRPr="00E16590">
        <w:rPr>
          <w:rFonts w:ascii="Times New Roman" w:hAnsi="Times New Roman" w:cs="Times New Roman"/>
          <w:sz w:val="28"/>
          <w:szCs w:val="28"/>
        </w:rPr>
        <w:t>шестьсот тринадцать  млн.  рублей</w:t>
      </w:r>
      <w:r w:rsidR="004F3E3C" w:rsidRPr="004F08CD">
        <w:rPr>
          <w:rFonts w:ascii="Times New Roman" w:hAnsi="Times New Roman" w:cs="Times New Roman"/>
          <w:sz w:val="28"/>
          <w:szCs w:val="28"/>
        </w:rPr>
        <w:t xml:space="preserve">.  </w:t>
      </w:r>
      <w:r w:rsidR="004F3E3C">
        <w:rPr>
          <w:rFonts w:ascii="Times New Roman" w:hAnsi="Times New Roman" w:cs="Times New Roman"/>
          <w:color w:val="000000" w:themeColor="text1"/>
          <w:sz w:val="28"/>
          <w:szCs w:val="28"/>
        </w:rPr>
        <w:t xml:space="preserve">В среднем каждый житель приобрел товаров на сумму </w:t>
      </w:r>
      <w:r w:rsidRPr="00E16590">
        <w:rPr>
          <w:rFonts w:ascii="Times New Roman" w:hAnsi="Times New Roman" w:cs="Times New Roman"/>
          <w:color w:val="000000" w:themeColor="text1"/>
          <w:sz w:val="28"/>
          <w:szCs w:val="28"/>
        </w:rPr>
        <w:t>145 тыс. 119 руб.,</w:t>
      </w:r>
      <w:r w:rsidR="00E16590" w:rsidRPr="00E16590">
        <w:rPr>
          <w:rFonts w:ascii="Times New Roman" w:hAnsi="Times New Roman" w:cs="Times New Roman"/>
          <w:color w:val="000000" w:themeColor="text1"/>
          <w:sz w:val="28"/>
          <w:szCs w:val="28"/>
        </w:rPr>
        <w:t xml:space="preserve"> </w:t>
      </w:r>
      <w:r w:rsidR="004F3E3C" w:rsidRPr="00E16590">
        <w:rPr>
          <w:rFonts w:ascii="Times New Roman" w:hAnsi="Times New Roman" w:cs="Times New Roman"/>
          <w:color w:val="000000" w:themeColor="text1"/>
          <w:sz w:val="28"/>
          <w:szCs w:val="28"/>
        </w:rPr>
        <w:t xml:space="preserve">на 26348 руб. </w:t>
      </w:r>
      <w:r w:rsidR="004F3E3C">
        <w:rPr>
          <w:rFonts w:ascii="Times New Roman" w:hAnsi="Times New Roman" w:cs="Times New Roman"/>
          <w:color w:val="000000" w:themeColor="text1"/>
          <w:sz w:val="28"/>
          <w:szCs w:val="28"/>
        </w:rPr>
        <w:t>больше прошлого года.</w:t>
      </w:r>
      <w:r w:rsidR="004F3E3C">
        <w:rPr>
          <w:rFonts w:ascii="Times New Roman" w:hAnsi="Times New Roman" w:cs="Times New Roman"/>
          <w:color w:val="FF0000"/>
          <w:sz w:val="28"/>
          <w:szCs w:val="28"/>
        </w:rPr>
        <w:t xml:space="preserve"> </w:t>
      </w:r>
      <w:r w:rsidR="004F3E3C">
        <w:rPr>
          <w:rFonts w:ascii="Times New Roman" w:hAnsi="Times New Roman" w:cs="Times New Roman"/>
          <w:color w:val="000000" w:themeColor="text1"/>
          <w:sz w:val="28"/>
          <w:szCs w:val="28"/>
        </w:rPr>
        <w:t xml:space="preserve">В общем товарообороте района </w:t>
      </w:r>
      <w:r w:rsidR="004F3E3C" w:rsidRPr="00E16590">
        <w:rPr>
          <w:rFonts w:ascii="Times New Roman" w:hAnsi="Times New Roman" w:cs="Times New Roman"/>
          <w:color w:val="000000" w:themeColor="text1"/>
          <w:sz w:val="28"/>
          <w:szCs w:val="28"/>
        </w:rPr>
        <w:t>34,1%</w:t>
      </w:r>
      <w:r w:rsidR="004F3E3C">
        <w:rPr>
          <w:rFonts w:ascii="Times New Roman" w:hAnsi="Times New Roman" w:cs="Times New Roman"/>
          <w:color w:val="000000" w:themeColor="text1"/>
          <w:sz w:val="28"/>
          <w:szCs w:val="28"/>
        </w:rPr>
        <w:t xml:space="preserve"> занимает торговля потребительского общества, оборот которой составляет </w:t>
      </w:r>
      <w:r w:rsidR="004F3E3C" w:rsidRPr="00E16590">
        <w:rPr>
          <w:rFonts w:ascii="Times New Roman" w:hAnsi="Times New Roman" w:cs="Times New Roman"/>
          <w:color w:val="000000" w:themeColor="text1"/>
          <w:sz w:val="28"/>
          <w:szCs w:val="28"/>
        </w:rPr>
        <w:t>550,3 млн. руб., 109,6%</w:t>
      </w:r>
      <w:r w:rsidR="004F3E3C">
        <w:rPr>
          <w:rFonts w:ascii="Times New Roman" w:hAnsi="Times New Roman" w:cs="Times New Roman"/>
          <w:b/>
          <w:color w:val="000000" w:themeColor="text1"/>
          <w:sz w:val="28"/>
          <w:szCs w:val="28"/>
        </w:rPr>
        <w:t xml:space="preserve"> </w:t>
      </w:r>
      <w:r w:rsidR="004F3E3C">
        <w:rPr>
          <w:rFonts w:ascii="Times New Roman" w:hAnsi="Times New Roman" w:cs="Times New Roman"/>
          <w:color w:val="000000" w:themeColor="text1"/>
          <w:sz w:val="28"/>
          <w:szCs w:val="28"/>
        </w:rPr>
        <w:t xml:space="preserve">к уровню прошлого года. </w:t>
      </w:r>
    </w:p>
    <w:p w:rsidR="00A71928" w:rsidRPr="00E16590" w:rsidRDefault="004F08CD" w:rsidP="00840AA2">
      <w:p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A71928" w:rsidRPr="00E16590">
        <w:rPr>
          <w:rFonts w:ascii="Times New Roman" w:hAnsi="Times New Roman" w:cs="Times New Roman"/>
          <w:color w:val="000000"/>
          <w:sz w:val="28"/>
          <w:szCs w:val="28"/>
        </w:rPr>
        <w:t>Субъекты малого и среднего предпринимательства</w:t>
      </w:r>
      <w:r w:rsidR="00A71928">
        <w:rPr>
          <w:rFonts w:ascii="Times New Roman" w:hAnsi="Times New Roman" w:cs="Times New Roman"/>
          <w:color w:val="000000"/>
          <w:sz w:val="28"/>
          <w:szCs w:val="28"/>
        </w:rPr>
        <w:t xml:space="preserve"> района обеспечивают более </w:t>
      </w:r>
      <w:r w:rsidR="00A71928" w:rsidRPr="00E16590">
        <w:rPr>
          <w:rFonts w:ascii="Times New Roman" w:hAnsi="Times New Roman" w:cs="Times New Roman"/>
          <w:color w:val="000000"/>
          <w:sz w:val="28"/>
          <w:szCs w:val="28"/>
        </w:rPr>
        <w:t>50 %</w:t>
      </w:r>
      <w:r w:rsidR="00A71928">
        <w:rPr>
          <w:rFonts w:ascii="Times New Roman" w:hAnsi="Times New Roman" w:cs="Times New Roman"/>
          <w:color w:val="000000"/>
          <w:sz w:val="28"/>
          <w:szCs w:val="28"/>
        </w:rPr>
        <w:t xml:space="preserve"> налоговых поступлений в его бюджет. Наиболее крупными источниками налоговых поступлений среди субъектов малого предпринимательства в промышленности являются: ООО «Партнер», ООО «Кедр». В сфере дорожного строительства – ООО «Магистраль», ООО «Строитель». В сфере торговли: ПК «Шарангское райпо», ООО «Роженцовское ТП», ООО «Общепит», ООО «Триумф». В сельском хозяйстве ООО «АПК «Поздеево», ООО «Союз», ООО «Возрождение», ООО «Новый век».</w:t>
      </w:r>
    </w:p>
    <w:p w:rsidR="00A71928" w:rsidRDefault="00A71928" w:rsidP="00840AA2">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результате конкурсного отбора  «О субсидировании части затрат субъектов малого и среднего предпринимательства, связанных с приобретением оборудования в целях создания и (или) модернизации производства товаров (работ, услуг) в 2022 году пять  предприятий: ООО «СПК Поздеево», ООО «Партнер»,  ИП ГКФХ Бахтин А.М., ИН Чемоданов А.Н., ООО Союз» получили субсидии в размере 300,00 тысяч рублей на возмещение части затрат, связанных с приобретением оборудования в целях создания и (или) модернизации производства товаров (работ, услуг). Общая сумма средств составила 1,5  миллиона  рублей. </w:t>
      </w:r>
      <w:r>
        <w:rPr>
          <w:rFonts w:ascii="Times New Roman" w:hAnsi="Times New Roman" w:cs="Times New Roman"/>
          <w:color w:val="FF0000"/>
          <w:sz w:val="28"/>
          <w:szCs w:val="28"/>
        </w:rPr>
        <w:t xml:space="preserve">   </w:t>
      </w:r>
      <w:r>
        <w:rPr>
          <w:rFonts w:ascii="Times New Roman" w:hAnsi="Times New Roman" w:cs="Times New Roman"/>
          <w:sz w:val="28"/>
          <w:szCs w:val="28"/>
        </w:rPr>
        <w:t>В 2021 году  получателем  субсидии  было только 1 предприятие.</w:t>
      </w:r>
    </w:p>
    <w:p w:rsidR="00840AA2" w:rsidRDefault="0070309E" w:rsidP="00840AA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2022 году 13 человек (это </w:t>
      </w:r>
      <w:r w:rsidR="00A71928">
        <w:rPr>
          <w:rFonts w:ascii="Times New Roman" w:hAnsi="Times New Roman" w:cs="Times New Roman"/>
          <w:sz w:val="28"/>
          <w:szCs w:val="28"/>
        </w:rPr>
        <w:t>4 индивидуальных предпринимателя и 9 самозанятых граждан) получили Государственную социальную помощь в виде единовременной денежной выплаты на реализацию мероприятий по осуществлению предпринимательской деятельности в сумме 3 млн. 850 тыс. рублей.</w:t>
      </w:r>
    </w:p>
    <w:p w:rsidR="004F3E3C" w:rsidRDefault="00840AA2" w:rsidP="00840AA2">
      <w:p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4F3E3C">
        <w:rPr>
          <w:rFonts w:ascii="Times New Roman" w:hAnsi="Times New Roman" w:cs="Times New Roman"/>
          <w:sz w:val="28"/>
          <w:szCs w:val="28"/>
        </w:rPr>
        <w:t xml:space="preserve">   На территории округа  функционирует  </w:t>
      </w:r>
      <w:r w:rsidR="004F3E3C" w:rsidRPr="0070309E">
        <w:rPr>
          <w:rFonts w:ascii="Times New Roman" w:hAnsi="Times New Roman" w:cs="Times New Roman"/>
          <w:sz w:val="28"/>
          <w:szCs w:val="28"/>
        </w:rPr>
        <w:t>90</w:t>
      </w:r>
      <w:r w:rsidR="004F3E3C">
        <w:rPr>
          <w:rFonts w:ascii="Times New Roman" w:hAnsi="Times New Roman" w:cs="Times New Roman"/>
          <w:b/>
          <w:sz w:val="28"/>
          <w:szCs w:val="28"/>
        </w:rPr>
        <w:t xml:space="preserve"> </w:t>
      </w:r>
      <w:r w:rsidR="004F3E3C">
        <w:rPr>
          <w:rFonts w:ascii="Times New Roman" w:hAnsi="Times New Roman" w:cs="Times New Roman"/>
          <w:sz w:val="28"/>
          <w:szCs w:val="28"/>
        </w:rPr>
        <w:t xml:space="preserve">торговых точек , 3 аптеки и 1 аптечный пункт, 5 автозаправочных станций, </w:t>
      </w:r>
      <w:r w:rsidR="004F3E3C">
        <w:rPr>
          <w:rFonts w:ascii="Times New Roman" w:hAnsi="Times New Roman" w:cs="Times New Roman"/>
          <w:color w:val="000000" w:themeColor="text1"/>
          <w:sz w:val="28"/>
          <w:szCs w:val="28"/>
        </w:rPr>
        <w:t xml:space="preserve">23 объекта бытового обслуживания (8 парикмахерских, 1 обувная мастерская, 4 швейных мастерских, 3 автосервиса, 6 объектов по ремонту компьютерной, бытовой техники и телефонов, 1 объект  ритуальных услуг), ярмарка временного характера, 6 точек общественного питания. </w:t>
      </w:r>
    </w:p>
    <w:p w:rsidR="006A1127" w:rsidRDefault="006A1127" w:rsidP="006A1127">
      <w:pPr>
        <w:spacing w:after="0" w:line="360" w:lineRule="auto"/>
        <w:ind w:firstLine="709"/>
        <w:jc w:val="both"/>
        <w:rPr>
          <w:rFonts w:ascii="Times New Roman" w:hAnsi="Times New Roman" w:cs="Times New Roman"/>
          <w:sz w:val="28"/>
          <w:szCs w:val="28"/>
        </w:rPr>
      </w:pPr>
      <w:r w:rsidRPr="001A7807">
        <w:rPr>
          <w:rFonts w:ascii="Times New Roman" w:hAnsi="Times New Roman" w:cs="Times New Roman"/>
          <w:sz w:val="28"/>
          <w:szCs w:val="28"/>
        </w:rPr>
        <w:t>Протяженность автомобильных дорог общего пользования местного значения с твердым покрытием составила 207,2  км (в том числе с твердым покрытием – 95,5 км</w:t>
      </w:r>
      <w:r w:rsidRPr="00514B38">
        <w:rPr>
          <w:sz w:val="28"/>
          <w:szCs w:val="28"/>
        </w:rPr>
        <w:t xml:space="preserve">. </w:t>
      </w:r>
      <w:r w:rsidRPr="00514B38">
        <w:rPr>
          <w:rFonts w:ascii="Times New Roman" w:hAnsi="Times New Roman" w:cs="Times New Roman"/>
          <w:color w:val="000000" w:themeColor="text1"/>
          <w:sz w:val="28"/>
          <w:szCs w:val="28"/>
        </w:rPr>
        <w:t>По отрасли «Дорожное хозяйство» произведены расходы в сумме 57,5 млн. руб., в том числе на строительство автомобильной дороги по ул.</w:t>
      </w:r>
      <w:r>
        <w:rPr>
          <w:rFonts w:ascii="Times New Roman" w:hAnsi="Times New Roman" w:cs="Times New Roman"/>
          <w:color w:val="000000" w:themeColor="text1"/>
          <w:sz w:val="28"/>
          <w:szCs w:val="28"/>
        </w:rPr>
        <w:t xml:space="preserve"> </w:t>
      </w:r>
      <w:r w:rsidRPr="00514B38">
        <w:rPr>
          <w:rFonts w:ascii="Times New Roman" w:hAnsi="Times New Roman" w:cs="Times New Roman"/>
          <w:color w:val="000000" w:themeColor="text1"/>
          <w:sz w:val="28"/>
          <w:szCs w:val="28"/>
        </w:rPr>
        <w:t>Вишневая в р.п. Шаранга,  на капитальный ремонт и содержание муниципальных дорог в р.п. Шаранга  и  сельских поселениях.</w:t>
      </w:r>
      <w:r>
        <w:rPr>
          <w:rFonts w:ascii="Times New Roman" w:hAnsi="Times New Roman" w:cs="Times New Roman"/>
          <w:color w:val="000000" w:themeColor="text1"/>
          <w:sz w:val="28"/>
          <w:szCs w:val="28"/>
        </w:rPr>
        <w:t xml:space="preserve"> </w:t>
      </w:r>
      <w:r w:rsidRPr="00514B38">
        <w:rPr>
          <w:rFonts w:ascii="Times New Roman" w:hAnsi="Times New Roman" w:cs="Times New Roman"/>
          <w:sz w:val="28"/>
          <w:szCs w:val="28"/>
        </w:rPr>
        <w:t xml:space="preserve">Обслуживанием дорог областной собственности занимаются две дорожно-строительные организации, зарегистрированные на территории района – </w:t>
      </w:r>
      <w:r w:rsidRPr="00514B38">
        <w:rPr>
          <w:rFonts w:ascii="Times New Roman" w:hAnsi="Times New Roman" w:cs="Times New Roman"/>
          <w:sz w:val="28"/>
          <w:szCs w:val="28"/>
        </w:rPr>
        <w:lastRenderedPageBreak/>
        <w:t>ООО «Магистраль» и ООО «Строитель».</w:t>
      </w:r>
      <w:r>
        <w:rPr>
          <w:rFonts w:ascii="Times New Roman" w:hAnsi="Times New Roman" w:cs="Times New Roman"/>
          <w:sz w:val="28"/>
          <w:szCs w:val="28"/>
        </w:rPr>
        <w:t xml:space="preserve"> </w:t>
      </w:r>
      <w:r w:rsidRPr="00514B38">
        <w:rPr>
          <w:rFonts w:ascii="Times New Roman" w:hAnsi="Times New Roman" w:cs="Times New Roman"/>
          <w:sz w:val="28"/>
          <w:szCs w:val="28"/>
        </w:rPr>
        <w:t xml:space="preserve">Муниципальные дороги обслуживает МУП ЖКХ.   </w:t>
      </w:r>
    </w:p>
    <w:p w:rsidR="006A1127" w:rsidRDefault="006A1127" w:rsidP="006A1127">
      <w:pPr>
        <w:pStyle w:val="a4"/>
        <w:spacing w:after="200" w:line="360" w:lineRule="auto"/>
        <w:ind w:firstLine="510"/>
        <w:jc w:val="both"/>
        <w:rPr>
          <w:color w:val="000000" w:themeColor="text1"/>
          <w:sz w:val="28"/>
          <w:szCs w:val="28"/>
        </w:rPr>
      </w:pPr>
      <w:r>
        <w:rPr>
          <w:color w:val="000000" w:themeColor="text1"/>
          <w:sz w:val="28"/>
          <w:szCs w:val="28"/>
        </w:rPr>
        <w:t>По отрасли  «Транспорт» произведены расходы в сумме 14,6 млн. руб., в том числе на поддержку пассажирского автопредприятия из районного бюджета выделено 10,2 млн. руб., при участии средств областного бюджета на приобретение в лизинг</w:t>
      </w:r>
      <w:r>
        <w:rPr>
          <w:sz w:val="28"/>
          <w:szCs w:val="28"/>
        </w:rPr>
        <w:t xml:space="preserve"> 3</w:t>
      </w:r>
      <w:r>
        <w:rPr>
          <w:color w:val="000000" w:themeColor="text1"/>
          <w:sz w:val="28"/>
          <w:szCs w:val="28"/>
        </w:rPr>
        <w:t>-х  автобусов для автопредприятия выделено 4,4 млн. руб. и 1 автобус  малого класса  приобретен  за  счет  местного бюджета.</w:t>
      </w:r>
    </w:p>
    <w:p w:rsidR="004F3E3C" w:rsidRDefault="006A1127" w:rsidP="00840AA2">
      <w:pPr>
        <w:spacing w:after="0" w:line="360" w:lineRule="auto"/>
        <w:jc w:val="both"/>
        <w:rPr>
          <w:rFonts w:ascii="Times New Roman" w:eastAsia="Gungsuh" w:hAnsi="Times New Roman" w:cs="Times New Roman"/>
          <w:sz w:val="28"/>
          <w:szCs w:val="28"/>
        </w:rPr>
      </w:pPr>
      <w:r>
        <w:rPr>
          <w:rFonts w:ascii="Times New Roman" w:hAnsi="Times New Roman" w:cs="Times New Roman"/>
          <w:sz w:val="28"/>
          <w:szCs w:val="28"/>
        </w:rPr>
        <w:t xml:space="preserve">     </w:t>
      </w:r>
      <w:r w:rsidR="004F3E3C">
        <w:rPr>
          <w:rFonts w:ascii="Times New Roman" w:hAnsi="Times New Roman" w:cs="Times New Roman"/>
          <w:color w:val="000000" w:themeColor="text1"/>
          <w:sz w:val="28"/>
          <w:szCs w:val="28"/>
        </w:rPr>
        <w:t xml:space="preserve">  </w:t>
      </w:r>
      <w:r w:rsidR="004F3E3C">
        <w:rPr>
          <w:rFonts w:ascii="Times New Roman" w:eastAsia="Gungsuh" w:hAnsi="Times New Roman" w:cs="Times New Roman"/>
          <w:sz w:val="28"/>
          <w:szCs w:val="28"/>
        </w:rPr>
        <w:t>В агропромышленном секторе  Ш</w:t>
      </w:r>
      <w:r w:rsidR="00840AA2">
        <w:rPr>
          <w:rFonts w:ascii="Times New Roman" w:eastAsia="Gungsuh" w:hAnsi="Times New Roman" w:cs="Times New Roman"/>
          <w:sz w:val="28"/>
          <w:szCs w:val="28"/>
        </w:rPr>
        <w:t>арангского муниципального района</w:t>
      </w:r>
      <w:r w:rsidR="004F3E3C">
        <w:rPr>
          <w:rFonts w:ascii="Times New Roman" w:eastAsia="Gungsuh" w:hAnsi="Times New Roman" w:cs="Times New Roman"/>
          <w:sz w:val="28"/>
          <w:szCs w:val="28"/>
        </w:rPr>
        <w:t xml:space="preserve"> осуществляют деятельность 5 сельскохозяйственных предприятий, 25 фермерских хозяйств, около 4 тысяч личных подсобных хозяйств,  предприятие переработки молока – АО «Маслодел», переработки льнотресты ООО «Льноизол» и два  сельскохозяйственных потребительских кооператива «Благодать» и «Шарангский лён». Кроме того животноводам оказывает ветеринарные услуги Государственное бюджетное учреждение Госветуправление  Шарангского  района.</w:t>
      </w:r>
    </w:p>
    <w:p w:rsidR="004F3E3C" w:rsidRDefault="004F3E3C" w:rsidP="00840AA2">
      <w:pPr>
        <w:spacing w:after="0" w:line="360" w:lineRule="auto"/>
        <w:ind w:firstLine="708"/>
        <w:jc w:val="both"/>
        <w:rPr>
          <w:rFonts w:ascii="Times New Roman" w:eastAsia="Gungsuh" w:hAnsi="Times New Roman" w:cs="Times New Roman"/>
          <w:sz w:val="28"/>
          <w:szCs w:val="28"/>
        </w:rPr>
      </w:pPr>
      <w:r>
        <w:rPr>
          <w:rFonts w:ascii="Times New Roman" w:eastAsia="Gungsuh" w:hAnsi="Times New Roman" w:cs="Times New Roman"/>
          <w:sz w:val="28"/>
          <w:szCs w:val="28"/>
        </w:rPr>
        <w:t>Традиционные направления   в отрасли АПК района  – это животноводство, основными видами деятельности  которого  является производство молока и мяса,  разведение крупного рогатого скота, а также  растениеводство - со специализацией на выращивании зерновых, кормовых культур и льна-долгунца.</w:t>
      </w:r>
    </w:p>
    <w:p w:rsidR="00A71928" w:rsidRDefault="00A71928" w:rsidP="00840AA2">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Среднегодовая численность работающих в общественном секторе АПК Шарангского округа - 129 человек. </w:t>
      </w:r>
      <w:r>
        <w:rPr>
          <w:rFonts w:ascii="Times New Roman" w:hAnsi="Times New Roman" w:cs="Times New Roman"/>
          <w:sz w:val="28"/>
          <w:szCs w:val="28"/>
        </w:rPr>
        <w:t>Средний уровень  заработной  платы в сельхозпредприятиях составляет  24,7 тысячи рублей (в 2021 году 23,5 тысячи рублей).</w:t>
      </w:r>
    </w:p>
    <w:p w:rsidR="004F3E3C" w:rsidRDefault="00CA735A" w:rsidP="00840AA2">
      <w:pPr>
        <w:spacing w:after="0" w:line="360" w:lineRule="auto"/>
        <w:jc w:val="both"/>
        <w:rPr>
          <w:rFonts w:ascii="Times New Roman" w:hAnsi="Times New Roman" w:cs="Times New Roman"/>
          <w:sz w:val="28"/>
          <w:szCs w:val="28"/>
          <w:highlight w:val="cyan"/>
        </w:rPr>
      </w:pPr>
      <w:r>
        <w:rPr>
          <w:rFonts w:ascii="Times New Roman" w:eastAsia="Gungsuh" w:hAnsi="Times New Roman" w:cs="Times New Roman"/>
          <w:sz w:val="28"/>
          <w:szCs w:val="28"/>
        </w:rPr>
        <w:t xml:space="preserve">       </w:t>
      </w:r>
      <w:r w:rsidR="004F3E3C">
        <w:rPr>
          <w:rFonts w:ascii="Times New Roman" w:hAnsi="Times New Roman" w:cs="Times New Roman"/>
          <w:sz w:val="28"/>
          <w:szCs w:val="28"/>
        </w:rPr>
        <w:t>За 2022 год выручка в сельскохозяйственных предприятиях составила 398 773 тыс.рублей (2021 год 280 480  тыс. рублей).</w:t>
      </w:r>
    </w:p>
    <w:p w:rsidR="004F3E3C" w:rsidRDefault="00CA735A" w:rsidP="00840AA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4F3E3C">
        <w:rPr>
          <w:rFonts w:ascii="Times New Roman" w:hAnsi="Times New Roman" w:cs="Times New Roman"/>
          <w:sz w:val="28"/>
          <w:szCs w:val="28"/>
        </w:rPr>
        <w:t>Прибыль до налогообложения за 2022 года в сельскохозяйственных предприятий составила 104086 тыс.руб. (2021 год 84 987 тыс. руб)</w:t>
      </w:r>
    </w:p>
    <w:p w:rsidR="004F3E3C" w:rsidRDefault="00840AA2" w:rsidP="00840A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3E3C">
        <w:rPr>
          <w:rFonts w:ascii="Times New Roman" w:hAnsi="Times New Roman" w:cs="Times New Roman"/>
          <w:sz w:val="28"/>
          <w:szCs w:val="28"/>
          <w:shd w:val="clear" w:color="auto" w:fill="FFFFFF"/>
        </w:rPr>
        <w:t xml:space="preserve">В 2022 году общая сумма полученных субсидий составила порядка 150 мл.руб. (2021 год 120 мл. руб.). </w:t>
      </w:r>
    </w:p>
    <w:p w:rsidR="004F3E3C" w:rsidRDefault="00840AA2" w:rsidP="00840AA2">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 xml:space="preserve">      </w:t>
      </w:r>
      <w:r w:rsidR="004F3E3C">
        <w:rPr>
          <w:rFonts w:ascii="Times New Roman" w:eastAsia="Gungsuh" w:hAnsi="Times New Roman" w:cs="Times New Roman"/>
          <w:sz w:val="28"/>
          <w:szCs w:val="28"/>
        </w:rPr>
        <w:t xml:space="preserve">Размер посевных площадей в хозяйствах всех категорий в текущем  году составил 22 701 га, из них порядка 9,5 тысяч - занято зерновыми культурами: среди них </w:t>
      </w:r>
      <w:r w:rsidR="004F3E3C">
        <w:rPr>
          <w:rFonts w:ascii="Times New Roman" w:hAnsi="Times New Roman" w:cs="Times New Roman"/>
          <w:sz w:val="28"/>
          <w:szCs w:val="28"/>
          <w:shd w:val="clear" w:color="auto" w:fill="FFFFFF"/>
        </w:rPr>
        <w:t>рожь, пшеница, овёс, ячмень. По сравнению с 2021 годом посевные площади  увеличены  на 1209 гектаров, за счет покупки земель и ввода в оборот ранее неиспользуемых земель.</w:t>
      </w:r>
    </w:p>
    <w:p w:rsidR="004F3E3C" w:rsidRDefault="004F3E3C" w:rsidP="00840AA2">
      <w:pPr>
        <w:spacing w:after="0" w:line="360" w:lineRule="auto"/>
        <w:ind w:firstLine="709"/>
        <w:jc w:val="both"/>
        <w:rPr>
          <w:rFonts w:ascii="Times New Roman" w:eastAsia="Gungsuh" w:hAnsi="Times New Roman" w:cs="Times New Roman"/>
          <w:sz w:val="28"/>
          <w:szCs w:val="28"/>
        </w:rPr>
      </w:pPr>
      <w:r>
        <w:rPr>
          <w:rFonts w:ascii="Times New Roman" w:eastAsia="Gungsuh" w:hAnsi="Times New Roman" w:cs="Times New Roman"/>
          <w:sz w:val="28"/>
          <w:szCs w:val="28"/>
        </w:rPr>
        <w:t xml:space="preserve">Валовой сбор зерновых культур в текущем году, в хозяйствах всех категорий, в весе после доработки составил 17 413 тонны, что на 5996 тонн  больше  прошлого года. </w:t>
      </w:r>
    </w:p>
    <w:p w:rsidR="004F3E3C" w:rsidRDefault="004F3E3C" w:rsidP="00840AA2">
      <w:pPr>
        <w:spacing w:after="0" w:line="360" w:lineRule="auto"/>
        <w:ind w:firstLine="709"/>
        <w:jc w:val="both"/>
        <w:rPr>
          <w:rFonts w:ascii="Times New Roman" w:eastAsia="Gungsuh" w:hAnsi="Times New Roman" w:cs="Times New Roman"/>
          <w:sz w:val="28"/>
          <w:szCs w:val="28"/>
        </w:rPr>
      </w:pPr>
      <w:r>
        <w:rPr>
          <w:rFonts w:ascii="Times New Roman" w:eastAsia="Gungsuh" w:hAnsi="Times New Roman" w:cs="Times New Roman"/>
          <w:sz w:val="28"/>
          <w:szCs w:val="28"/>
        </w:rPr>
        <w:t>Урожайность зерновых культур  в 2022 году составила 18,3 центнеров с гектара, по сравнению с 2021 годом на 5 ц/га больше.</w:t>
      </w:r>
    </w:p>
    <w:p w:rsidR="004F3E3C" w:rsidRDefault="004F3E3C" w:rsidP="00840AA2">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текущем  году аграрии Шарангского округа вновь  вели работу  по вводу в оборот залежных земель. Разработано 610 гектаров ранее неиспользуемых земельных участков.  Общий объем финансовых вложений в данном направлении составил 26 мл.руб.</w:t>
      </w:r>
    </w:p>
    <w:p w:rsidR="004F3E3C" w:rsidRDefault="004F3E3C" w:rsidP="00840AA2">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Под урожай 2023 года посеяны озимые культуры на площади 3850 га, на 100 га больше уровня прошлого года. </w:t>
      </w:r>
    </w:p>
    <w:p w:rsidR="004F3E3C" w:rsidRDefault="004F3E3C" w:rsidP="00840AA2">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Вспахано зяби более 4,9 тыс. га, что составляет 52 % от площади ярового сева. </w:t>
      </w:r>
    </w:p>
    <w:p w:rsidR="004F3E3C" w:rsidRDefault="004F3E3C" w:rsidP="00840AA2">
      <w:pPr>
        <w:spacing w:after="0" w:line="360" w:lineRule="auto"/>
        <w:ind w:firstLine="709"/>
        <w:jc w:val="both"/>
        <w:rPr>
          <w:rFonts w:ascii="Times New Roman" w:eastAsia="Gungsuh" w:hAnsi="Times New Roman" w:cs="Times New Roman"/>
          <w:sz w:val="28"/>
          <w:szCs w:val="28"/>
        </w:rPr>
      </w:pPr>
      <w:r>
        <w:rPr>
          <w:rFonts w:ascii="Times New Roman" w:eastAsia="Gungsuh" w:hAnsi="Times New Roman" w:cs="Times New Roman"/>
          <w:sz w:val="28"/>
          <w:szCs w:val="28"/>
        </w:rPr>
        <w:t>За последние несколько лет наблюдается, ежегодная положительная динамика в производстве молока. Так, в сельхозпредприятиях и фермерских хозяйствах  округа производство молока за 2022  год  увеличилось на 963</w:t>
      </w:r>
      <w:r w:rsidR="00840AA2">
        <w:rPr>
          <w:rFonts w:ascii="Times New Roman" w:eastAsia="Gungsuh" w:hAnsi="Times New Roman" w:cs="Times New Roman"/>
          <w:sz w:val="28"/>
          <w:szCs w:val="28"/>
        </w:rPr>
        <w:t xml:space="preserve"> </w:t>
      </w:r>
      <w:r>
        <w:rPr>
          <w:rFonts w:ascii="Times New Roman" w:eastAsia="Gungsuh" w:hAnsi="Times New Roman" w:cs="Times New Roman"/>
          <w:sz w:val="28"/>
          <w:szCs w:val="28"/>
        </w:rPr>
        <w:t>тонны,  по сравнению с аналогичным периодом прошлого года и   достигло  6807 тонн.</w:t>
      </w:r>
    </w:p>
    <w:p w:rsidR="00E16590" w:rsidRPr="00E16590" w:rsidRDefault="00A12D41" w:rsidP="00E16590">
      <w:pPr>
        <w:spacing w:line="36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Pr="00E16590">
        <w:rPr>
          <w:rFonts w:ascii="Times New Roman" w:hAnsi="Times New Roman" w:cs="Times New Roman"/>
          <w:sz w:val="28"/>
          <w:szCs w:val="28"/>
        </w:rPr>
        <w:t xml:space="preserve">В апреле текущего года ООО «Союз»  получило статус племенного репродуктора по разведению КРС герефордской породы, который дает новые возможности для развития племенного животноводства.  Так же в  2022 году </w:t>
      </w:r>
      <w:r w:rsidRPr="00E16590">
        <w:rPr>
          <w:rFonts w:ascii="Times New Roman" w:hAnsi="Times New Roman" w:cs="Times New Roman"/>
          <w:sz w:val="28"/>
          <w:szCs w:val="28"/>
          <w:shd w:val="clear" w:color="auto" w:fill="FFFFFF"/>
        </w:rPr>
        <w:t>ООО «Союз» участвовало во всероссийской выставке быков мясного направления герефордской породы «Золотая осень» и в  номинации «За достижение высоких показателей в развитии племенного и товарного животноводства» получили золотую  медаль и диплом первой степени.</w:t>
      </w:r>
      <w:r w:rsidR="00E16590">
        <w:rPr>
          <w:rFonts w:ascii="Times New Roman" w:hAnsi="Times New Roman" w:cs="Times New Roman"/>
          <w:sz w:val="28"/>
          <w:szCs w:val="28"/>
          <w:shd w:val="clear" w:color="auto" w:fill="FFFFFF"/>
        </w:rPr>
        <w:t xml:space="preserve"> </w:t>
      </w:r>
      <w:r w:rsidRPr="00E16590">
        <w:rPr>
          <w:rFonts w:ascii="Times New Roman" w:hAnsi="Times New Roman" w:cs="Times New Roman"/>
          <w:sz w:val="28"/>
          <w:szCs w:val="28"/>
        </w:rPr>
        <w:lastRenderedPageBreak/>
        <w:t>Ежегодно фермеры Шарангского округа участвуют в конкурсе на получение грантов для развития фермерских хозяйств. Индивидуальный предприниматель Бахтин А.М. в очередной раз  принял участие в конкурсе на получение гранта  на развитие семейной фермы и стал его победителем, сумма гранта составила 12млн. 680 тыс. руб</w:t>
      </w:r>
      <w:r w:rsidR="00E16590">
        <w:rPr>
          <w:rFonts w:ascii="Times New Roman" w:hAnsi="Times New Roman" w:cs="Times New Roman"/>
          <w:sz w:val="28"/>
          <w:szCs w:val="28"/>
        </w:rPr>
        <w:t>.</w:t>
      </w:r>
    </w:p>
    <w:p w:rsidR="00A12D41" w:rsidRPr="00E16590" w:rsidRDefault="00A12D41" w:rsidP="00E16590">
      <w:pPr>
        <w:spacing w:line="360" w:lineRule="auto"/>
        <w:jc w:val="both"/>
        <w:rPr>
          <w:rFonts w:ascii="Times New Roman" w:hAnsi="Times New Roman" w:cs="Times New Roman"/>
          <w:sz w:val="28"/>
          <w:szCs w:val="28"/>
          <w:shd w:val="clear" w:color="auto" w:fill="FFFFFF"/>
        </w:rPr>
      </w:pPr>
      <w:r w:rsidRPr="00E16590">
        <w:rPr>
          <w:rFonts w:ascii="Times New Roman" w:hAnsi="Times New Roman" w:cs="Times New Roman"/>
          <w:sz w:val="28"/>
          <w:szCs w:val="28"/>
          <w:shd w:val="clear" w:color="auto" w:fill="F9F9F9"/>
        </w:rPr>
        <w:t>Фермерское хозяйство Александра Михайловича, по итогам конкурсного отбора всероссийской выставки «Золотая осень», стало победителем  в</w:t>
      </w:r>
      <w:r w:rsidRPr="00E16590">
        <w:rPr>
          <w:rFonts w:ascii="Times New Roman" w:hAnsi="Times New Roman" w:cs="Times New Roman"/>
          <w:sz w:val="28"/>
          <w:szCs w:val="28"/>
        </w:rPr>
        <w:t xml:space="preserve"> номинации: «Эффективный проект грантополучателя» и  получило диплом выставки и золотую  медаль.</w:t>
      </w:r>
    </w:p>
    <w:p w:rsidR="00A12D41" w:rsidRPr="00E16590" w:rsidRDefault="00A12D41" w:rsidP="00A12D41">
      <w:pPr>
        <w:spacing w:line="360" w:lineRule="auto"/>
        <w:jc w:val="both"/>
        <w:rPr>
          <w:rFonts w:ascii="Times New Roman" w:hAnsi="Times New Roman" w:cs="Times New Roman"/>
          <w:sz w:val="28"/>
          <w:szCs w:val="28"/>
        </w:rPr>
      </w:pPr>
      <w:r w:rsidRPr="00E16590">
        <w:rPr>
          <w:rFonts w:ascii="Times New Roman" w:hAnsi="Times New Roman" w:cs="Times New Roman"/>
          <w:sz w:val="28"/>
          <w:szCs w:val="28"/>
        </w:rPr>
        <w:t>В рамках мероприятий «Золотой осени», был проведен конкурсного отбора  участников программы «Комплексное развитие сельских территорий», где Шарангский район стал победителем  в двух номинациях:</w:t>
      </w:r>
    </w:p>
    <w:p w:rsidR="00A12D41" w:rsidRPr="00E16590" w:rsidRDefault="00A12D41" w:rsidP="00A12D41">
      <w:pPr>
        <w:spacing w:line="360" w:lineRule="auto"/>
        <w:jc w:val="both"/>
        <w:rPr>
          <w:rFonts w:ascii="Times New Roman" w:hAnsi="Times New Roman" w:cs="Times New Roman"/>
          <w:sz w:val="28"/>
          <w:szCs w:val="28"/>
        </w:rPr>
      </w:pPr>
      <w:r w:rsidRPr="00E16590">
        <w:rPr>
          <w:rFonts w:ascii="Times New Roman" w:hAnsi="Times New Roman" w:cs="Times New Roman"/>
          <w:sz w:val="28"/>
          <w:szCs w:val="28"/>
        </w:rPr>
        <w:t xml:space="preserve"> «Эффективная реализация проектов комплексного развития сельских территорий в рамках государственной программы Российской Федерации «Комплексное развитие сельских территорий» -  Администрация Шарангского муниципального района Нижегородской области награждена   </w:t>
      </w:r>
      <w:r w:rsidRPr="00E16590">
        <w:rPr>
          <w:rFonts w:ascii="Times New Roman" w:hAnsi="Times New Roman" w:cs="Times New Roman"/>
          <w:b/>
          <w:sz w:val="28"/>
          <w:szCs w:val="28"/>
        </w:rPr>
        <w:t>Бронзовой медалью.</w:t>
      </w:r>
    </w:p>
    <w:p w:rsidR="00A12D41" w:rsidRPr="00E16590" w:rsidRDefault="00A12D41" w:rsidP="00A12D41">
      <w:pPr>
        <w:spacing w:line="360" w:lineRule="auto"/>
        <w:jc w:val="both"/>
        <w:rPr>
          <w:rFonts w:ascii="Times New Roman" w:hAnsi="Times New Roman" w:cs="Times New Roman"/>
          <w:sz w:val="28"/>
          <w:szCs w:val="28"/>
        </w:rPr>
      </w:pPr>
      <w:r w:rsidRPr="00E16590">
        <w:rPr>
          <w:rFonts w:ascii="Times New Roman" w:hAnsi="Times New Roman" w:cs="Times New Roman"/>
          <w:sz w:val="28"/>
          <w:szCs w:val="28"/>
        </w:rPr>
        <w:t>В номинации «Лучшая практика привлечения внебюджетных инвестиций на реализацию проекта комплексного развития сельских территорий» -</w:t>
      </w:r>
      <w:r w:rsidRPr="00E16590">
        <w:rPr>
          <w:rFonts w:ascii="Times New Roman" w:hAnsi="Times New Roman" w:cs="Times New Roman"/>
          <w:b/>
          <w:sz w:val="28"/>
          <w:szCs w:val="28"/>
        </w:rPr>
        <w:t>Золотой медалью</w:t>
      </w:r>
      <w:r w:rsidRPr="00E16590">
        <w:rPr>
          <w:rFonts w:ascii="Times New Roman" w:hAnsi="Times New Roman" w:cs="Times New Roman"/>
          <w:sz w:val="28"/>
          <w:szCs w:val="28"/>
        </w:rPr>
        <w:t xml:space="preserve"> .</w:t>
      </w:r>
    </w:p>
    <w:p w:rsidR="00A12D41" w:rsidRPr="00E16590" w:rsidRDefault="00A12D41" w:rsidP="00A12D41">
      <w:pPr>
        <w:spacing w:line="360" w:lineRule="auto"/>
        <w:jc w:val="both"/>
        <w:rPr>
          <w:rFonts w:ascii="Times New Roman" w:hAnsi="Times New Roman" w:cs="Times New Roman"/>
          <w:color w:val="000000" w:themeColor="text1"/>
          <w:sz w:val="28"/>
          <w:szCs w:val="28"/>
        </w:rPr>
      </w:pPr>
      <w:r w:rsidRPr="00E16590">
        <w:rPr>
          <w:rFonts w:ascii="Times New Roman" w:hAnsi="Times New Roman" w:cs="Times New Roman"/>
          <w:sz w:val="24"/>
          <w:szCs w:val="24"/>
        </w:rPr>
        <w:t xml:space="preserve">   </w:t>
      </w:r>
      <w:r w:rsidRPr="00E16590">
        <w:rPr>
          <w:rFonts w:ascii="Times New Roman" w:hAnsi="Times New Roman" w:cs="Times New Roman"/>
          <w:color w:val="000000" w:themeColor="text1"/>
          <w:sz w:val="28"/>
          <w:szCs w:val="28"/>
        </w:rPr>
        <w:t>В 2022 году, по итогам конкурсного отбора, приуроченного к дню работника сельского хозяйства и перерабатывающей промышленности в номинации «За высокие производственные показатели и стабильное развитие АПК» Шарангский муниципальный  район, в очередной раз, награжден «Почетным знаком губернатора».</w:t>
      </w:r>
    </w:p>
    <w:p w:rsidR="00FD3B71" w:rsidRPr="00CA735A" w:rsidRDefault="00A12D41" w:rsidP="00A12D41">
      <w:pPr>
        <w:spacing w:after="0" w:line="360" w:lineRule="auto"/>
        <w:rPr>
          <w:rFonts w:ascii="Times New Roman" w:eastAsia="Gungsuh" w:hAnsi="Times New Roman" w:cs="Times New Roman"/>
          <w:color w:val="000000"/>
          <w:sz w:val="28"/>
          <w:szCs w:val="28"/>
          <w:highlight w:val="yellow"/>
        </w:rPr>
      </w:pPr>
      <w:r>
        <w:rPr>
          <w:rFonts w:ascii="Times New Roman" w:hAnsi="Times New Roman" w:cs="Times New Roman"/>
          <w:color w:val="000000" w:themeColor="text1"/>
          <w:sz w:val="24"/>
          <w:szCs w:val="24"/>
        </w:rPr>
        <w:t xml:space="preserve">                                          </w:t>
      </w:r>
      <w:r w:rsidR="00C4495F" w:rsidRPr="00CA735A">
        <w:rPr>
          <w:rFonts w:ascii="Times New Roman" w:hAnsi="Times New Roman"/>
          <w:b/>
          <w:sz w:val="28"/>
          <w:szCs w:val="28"/>
          <w:lang w:val="en-US"/>
        </w:rPr>
        <w:t>III</w:t>
      </w:r>
      <w:r w:rsidR="00C4495F" w:rsidRPr="00CA735A">
        <w:rPr>
          <w:rFonts w:ascii="Times New Roman" w:hAnsi="Times New Roman"/>
          <w:b/>
          <w:sz w:val="28"/>
          <w:szCs w:val="28"/>
        </w:rPr>
        <w:t>.</w:t>
      </w:r>
      <w:r w:rsidR="00840AA2">
        <w:rPr>
          <w:rFonts w:ascii="Times New Roman" w:hAnsi="Times New Roman"/>
          <w:b/>
          <w:sz w:val="28"/>
          <w:szCs w:val="28"/>
        </w:rPr>
        <w:t xml:space="preserve"> </w:t>
      </w:r>
      <w:r w:rsidR="00FD3B71" w:rsidRPr="00CA735A">
        <w:rPr>
          <w:rFonts w:ascii="Times New Roman" w:eastAsia="Calibri" w:hAnsi="Times New Roman" w:cs="Times New Roman"/>
          <w:b/>
          <w:sz w:val="28"/>
          <w:szCs w:val="28"/>
        </w:rPr>
        <w:t>Дошкольное образование</w:t>
      </w:r>
    </w:p>
    <w:p w:rsidR="001A7807" w:rsidRPr="00CA735A" w:rsidRDefault="00A12D41" w:rsidP="00A12D41">
      <w:pPr>
        <w:pStyle w:val="a4"/>
        <w:spacing w:line="360" w:lineRule="auto"/>
        <w:jc w:val="both"/>
        <w:rPr>
          <w:sz w:val="28"/>
          <w:szCs w:val="28"/>
        </w:rPr>
      </w:pPr>
      <w:r>
        <w:rPr>
          <w:rFonts w:eastAsia="Calibri"/>
          <w:b/>
          <w:sz w:val="28"/>
          <w:szCs w:val="28"/>
          <w:lang w:eastAsia="en-US"/>
        </w:rPr>
        <w:t xml:space="preserve">          </w:t>
      </w:r>
      <w:r w:rsidR="001A7807" w:rsidRPr="00CA735A">
        <w:rPr>
          <w:sz w:val="28"/>
          <w:szCs w:val="28"/>
        </w:rPr>
        <w:t xml:space="preserve">На конец 2022 года в Шарангском муниципальном районе функционирует 14 муниципальных бюджетных дошкольных </w:t>
      </w:r>
      <w:r w:rsidR="001A7807" w:rsidRPr="00CA735A">
        <w:rPr>
          <w:sz w:val="28"/>
          <w:szCs w:val="28"/>
        </w:rPr>
        <w:lastRenderedPageBreak/>
        <w:t>образовательных учреждений, реализующих программу дошкольного образования:</w:t>
      </w:r>
    </w:p>
    <w:p w:rsidR="001A7807" w:rsidRPr="00CA735A" w:rsidRDefault="001A7807" w:rsidP="00840AA2">
      <w:pPr>
        <w:pStyle w:val="a4"/>
        <w:spacing w:line="360" w:lineRule="auto"/>
        <w:jc w:val="both"/>
        <w:rPr>
          <w:sz w:val="28"/>
          <w:szCs w:val="28"/>
        </w:rPr>
      </w:pPr>
      <w:r w:rsidRPr="00CA735A">
        <w:rPr>
          <w:sz w:val="28"/>
          <w:szCs w:val="28"/>
        </w:rPr>
        <w:t>- 12 детских садов,</w:t>
      </w:r>
    </w:p>
    <w:p w:rsidR="001A7807" w:rsidRPr="00CA735A" w:rsidRDefault="006C780A" w:rsidP="00840AA2">
      <w:pPr>
        <w:pStyle w:val="a4"/>
        <w:spacing w:line="360" w:lineRule="auto"/>
        <w:jc w:val="both"/>
        <w:rPr>
          <w:sz w:val="28"/>
          <w:szCs w:val="28"/>
        </w:rPr>
      </w:pPr>
      <w:r>
        <w:rPr>
          <w:sz w:val="28"/>
          <w:szCs w:val="28"/>
        </w:rPr>
        <w:t xml:space="preserve">- </w:t>
      </w:r>
      <w:r w:rsidR="001A7807" w:rsidRPr="00CA735A">
        <w:rPr>
          <w:sz w:val="28"/>
          <w:szCs w:val="28"/>
        </w:rPr>
        <w:t>2 школы с дошкольными группами (МБОУ Поздеевская ОШ, МБОУ Щенниковская ОШ).</w:t>
      </w:r>
    </w:p>
    <w:p w:rsidR="001A7807" w:rsidRPr="00CA735A" w:rsidRDefault="001A7807" w:rsidP="00840AA2">
      <w:pPr>
        <w:pStyle w:val="a4"/>
        <w:spacing w:line="360" w:lineRule="auto"/>
        <w:ind w:firstLine="708"/>
        <w:jc w:val="both"/>
        <w:rPr>
          <w:sz w:val="28"/>
          <w:szCs w:val="28"/>
        </w:rPr>
      </w:pPr>
      <w:r w:rsidRPr="00CA735A">
        <w:rPr>
          <w:sz w:val="28"/>
          <w:szCs w:val="28"/>
        </w:rPr>
        <w:t>Кроме того, предоставляли услуги дошкольного образования 2 семейных детских сада, которые являются структурными подразделениями МБДОУ детского сада «Светлячок» р.п.Шаранга. Общее количество детей в СДС на 31.12.2022 – 11 человек.  А также филиал МБДОУ детского сада «Светлячок» - МБДОУ детский сад «Теремок» д.Черномуж, который посещало 6 воспитанников.</w:t>
      </w:r>
    </w:p>
    <w:p w:rsidR="009B14AD" w:rsidRDefault="001A7807" w:rsidP="00840AA2">
      <w:pPr>
        <w:pStyle w:val="a4"/>
        <w:spacing w:line="360" w:lineRule="auto"/>
        <w:jc w:val="both"/>
        <w:rPr>
          <w:sz w:val="28"/>
          <w:szCs w:val="28"/>
        </w:rPr>
      </w:pPr>
      <w:r w:rsidRPr="00CA735A">
        <w:rPr>
          <w:sz w:val="28"/>
          <w:szCs w:val="28"/>
        </w:rPr>
        <w:t xml:space="preserve">Численность детей в дошкольных учреждениях на 01.01.2023 г.- </w:t>
      </w:r>
      <w:r w:rsidR="009B14AD">
        <w:rPr>
          <w:sz w:val="28"/>
          <w:szCs w:val="28"/>
        </w:rPr>
        <w:t>531</w:t>
      </w:r>
      <w:r w:rsidRPr="00CA735A">
        <w:rPr>
          <w:sz w:val="28"/>
          <w:szCs w:val="28"/>
        </w:rPr>
        <w:t xml:space="preserve"> человек. </w:t>
      </w:r>
    </w:p>
    <w:p w:rsidR="009B14AD" w:rsidRPr="00CA735A" w:rsidRDefault="009B14AD" w:rsidP="00840AA2">
      <w:pPr>
        <w:pStyle w:val="a4"/>
        <w:spacing w:line="360" w:lineRule="auto"/>
        <w:jc w:val="both"/>
        <w:rPr>
          <w:sz w:val="28"/>
          <w:szCs w:val="28"/>
        </w:rPr>
      </w:pPr>
      <w:r w:rsidRPr="00CA735A">
        <w:rPr>
          <w:sz w:val="28"/>
          <w:szCs w:val="28"/>
        </w:rPr>
        <w:t>Уменьшение количества воспитанников связано прежде всего с уменьшением количества детей в сельских детских садах (уменьшением рождаемости), а также с миграцией населения района.</w:t>
      </w:r>
    </w:p>
    <w:p w:rsidR="00A12D41" w:rsidRDefault="00A12D41" w:rsidP="00840AA2">
      <w:pPr>
        <w:pStyle w:val="a4"/>
        <w:spacing w:line="360" w:lineRule="auto"/>
        <w:ind w:firstLine="708"/>
        <w:jc w:val="both"/>
        <w:rPr>
          <w:color w:val="000000" w:themeColor="text1"/>
          <w:sz w:val="28"/>
          <w:szCs w:val="28"/>
        </w:rPr>
      </w:pPr>
      <w:r w:rsidRPr="006C780A">
        <w:rPr>
          <w:color w:val="000000" w:themeColor="text1"/>
          <w:sz w:val="28"/>
          <w:szCs w:val="28"/>
        </w:rPr>
        <w:t>Доля детей в возрасте 1-6 лет, получающих дошкольную</w:t>
      </w:r>
      <w:r w:rsidR="00F33C29" w:rsidRPr="006C780A">
        <w:rPr>
          <w:color w:val="000000" w:themeColor="text1"/>
          <w:sz w:val="28"/>
          <w:szCs w:val="28"/>
        </w:rPr>
        <w:t xml:space="preserve">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67,3% ( в 2022 году 65,36%).</w:t>
      </w:r>
      <w:r>
        <w:rPr>
          <w:color w:val="000000" w:themeColor="text1"/>
          <w:sz w:val="28"/>
          <w:szCs w:val="28"/>
        </w:rPr>
        <w:t xml:space="preserve"> </w:t>
      </w:r>
    </w:p>
    <w:p w:rsidR="00CA735A" w:rsidRPr="00CA735A" w:rsidRDefault="00CA735A" w:rsidP="00840AA2">
      <w:pPr>
        <w:pStyle w:val="a4"/>
        <w:spacing w:line="360" w:lineRule="auto"/>
        <w:ind w:firstLine="708"/>
        <w:jc w:val="both"/>
        <w:rPr>
          <w:color w:val="000000" w:themeColor="text1"/>
          <w:sz w:val="28"/>
          <w:szCs w:val="28"/>
        </w:rPr>
      </w:pPr>
      <w:r w:rsidRPr="00CA735A">
        <w:rPr>
          <w:color w:val="000000" w:themeColor="text1"/>
          <w:sz w:val="28"/>
          <w:szCs w:val="28"/>
        </w:rPr>
        <w:t xml:space="preserve">Целью социальной политики в области дошкольного образования является реализация права каждого ребенка на качественное и доступное образование. </w:t>
      </w:r>
    </w:p>
    <w:p w:rsidR="00CA735A" w:rsidRPr="00CA735A" w:rsidRDefault="00CA735A" w:rsidP="00840AA2">
      <w:pPr>
        <w:pStyle w:val="a4"/>
        <w:spacing w:line="360" w:lineRule="auto"/>
        <w:ind w:firstLine="708"/>
        <w:jc w:val="both"/>
        <w:rPr>
          <w:color w:val="000000" w:themeColor="text1"/>
          <w:sz w:val="28"/>
          <w:szCs w:val="28"/>
        </w:rPr>
      </w:pPr>
      <w:r w:rsidRPr="00CA735A">
        <w:rPr>
          <w:color w:val="000000" w:themeColor="text1"/>
          <w:sz w:val="28"/>
          <w:szCs w:val="28"/>
        </w:rPr>
        <w:t xml:space="preserve">Чтобы наиболее полно удовлетворить спрос родителей, дети которых не посещали дошкольные учреждения, активно использовался    потенциал консультационного центра, как вариативной формы   дошкольного образования. В настоящее время консультационный центр работает на базе МБДОУ д/с «Светлячок», где созданы необходимые условия: нормативно-правовая база, материально- технические условия, кадровое обеспечение. Проводились консультации (в т.ч. выездные консультации), совместные занятия с родителями и с детьми, мастер-классы, совместные праздники и </w:t>
      </w:r>
      <w:r w:rsidRPr="00CA735A">
        <w:rPr>
          <w:color w:val="000000" w:themeColor="text1"/>
          <w:sz w:val="28"/>
          <w:szCs w:val="28"/>
        </w:rPr>
        <w:lastRenderedPageBreak/>
        <w:t>досуги,</w:t>
      </w:r>
      <w:r w:rsidRPr="00CA735A">
        <w:rPr>
          <w:bCs/>
          <w:iCs/>
          <w:color w:val="000000" w:themeColor="text1"/>
          <w:sz w:val="28"/>
          <w:szCs w:val="28"/>
        </w:rPr>
        <w:t xml:space="preserve"> </w:t>
      </w:r>
      <w:r w:rsidRPr="00CA735A">
        <w:rPr>
          <w:color w:val="000000" w:themeColor="text1"/>
          <w:sz w:val="28"/>
          <w:szCs w:val="28"/>
        </w:rPr>
        <w:t>тренинги для родителей. Особое значение специалисты центра придавали   информационной работе с населением для рекламы нового вида образовательной услуги. Кроме того, информация о работе консультационного центра размещена на сайте районного отдела образования и сайтах всех дошкольных образовательных организаций.</w:t>
      </w:r>
    </w:p>
    <w:p w:rsidR="00CA735A" w:rsidRPr="00CA735A" w:rsidRDefault="00CA735A" w:rsidP="00840AA2">
      <w:pPr>
        <w:pStyle w:val="a4"/>
        <w:spacing w:line="360" w:lineRule="auto"/>
        <w:ind w:firstLine="708"/>
        <w:jc w:val="both"/>
        <w:rPr>
          <w:sz w:val="28"/>
          <w:szCs w:val="28"/>
        </w:rPr>
      </w:pPr>
      <w:r w:rsidRPr="00CA735A">
        <w:rPr>
          <w:sz w:val="28"/>
          <w:szCs w:val="28"/>
        </w:rPr>
        <w:t>По данным анкетирования   удовлетворенность родителей качеством дошкольного образования в районе, как и в прошлом году, составляет 94%. Положительная динамика за 3 года отмечена в МБДОУ детский сад «Ручеек»» р.п. Шаранга; МБДОУ детский сад «Колосок» с.Большая Рудка; МБДОУ д/с «Родничок» д.Щекотово, МБДОУ детский сад «Колобок» с.Кушнур, МБДОУ детский сад «Рябинка» с.Большое Устинское, МБОУ Поздеевская ОШ, МБДОУ детский сад «Солнышко» с.Старая Рудка.</w:t>
      </w:r>
    </w:p>
    <w:p w:rsidR="00EA53E8" w:rsidRPr="00F559AD" w:rsidRDefault="00EA53E8" w:rsidP="00840AA2">
      <w:pPr>
        <w:pStyle w:val="a3"/>
        <w:spacing w:after="0" w:line="360" w:lineRule="auto"/>
        <w:ind w:left="0" w:firstLine="567"/>
        <w:jc w:val="center"/>
        <w:rPr>
          <w:rFonts w:ascii="Times New Roman" w:hAnsi="Times New Roman"/>
          <w:b/>
          <w:sz w:val="28"/>
          <w:szCs w:val="28"/>
          <w:highlight w:val="yellow"/>
        </w:rPr>
      </w:pPr>
    </w:p>
    <w:p w:rsidR="0025311B" w:rsidRDefault="00C4495F" w:rsidP="00840AA2">
      <w:pPr>
        <w:pStyle w:val="a3"/>
        <w:spacing w:after="0" w:line="360" w:lineRule="auto"/>
        <w:ind w:left="0" w:firstLine="567"/>
        <w:jc w:val="center"/>
        <w:rPr>
          <w:rFonts w:ascii="Times New Roman" w:hAnsi="Times New Roman"/>
          <w:b/>
          <w:sz w:val="28"/>
          <w:szCs w:val="28"/>
        </w:rPr>
      </w:pPr>
      <w:r w:rsidRPr="00CA735A">
        <w:rPr>
          <w:rFonts w:ascii="Times New Roman" w:hAnsi="Times New Roman"/>
          <w:b/>
          <w:sz w:val="28"/>
          <w:szCs w:val="28"/>
          <w:lang w:val="en-US"/>
        </w:rPr>
        <w:t>IV</w:t>
      </w:r>
      <w:r w:rsidRPr="00CA735A">
        <w:rPr>
          <w:rFonts w:ascii="Times New Roman" w:hAnsi="Times New Roman"/>
          <w:b/>
          <w:sz w:val="28"/>
          <w:szCs w:val="28"/>
        </w:rPr>
        <w:t>.</w:t>
      </w:r>
      <w:r w:rsidR="0025311B" w:rsidRPr="00FA5861">
        <w:rPr>
          <w:rFonts w:ascii="Times New Roman" w:hAnsi="Times New Roman"/>
          <w:b/>
          <w:sz w:val="28"/>
          <w:szCs w:val="28"/>
        </w:rPr>
        <w:t>Общее и дополнительное образование</w:t>
      </w:r>
    </w:p>
    <w:p w:rsidR="00FA5861" w:rsidRDefault="00FA5861" w:rsidP="00840AA2">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Сеть образовательных организаций в 2022 году состояла из 23 учреждений, в том числе 9 школ, 12 детских садов и 2 учреждения дополнительного образования. </w:t>
      </w:r>
    </w:p>
    <w:p w:rsidR="006C780A" w:rsidRDefault="00FA5861" w:rsidP="006C780A">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Расходы на содержание и развитие отрасли «Образование» </w:t>
      </w:r>
      <w:r>
        <w:rPr>
          <w:rFonts w:ascii="Times New Roman" w:hAnsi="Times New Roman" w:cs="Times New Roman"/>
          <w:sz w:val="24"/>
          <w:szCs w:val="24"/>
        </w:rPr>
        <w:t xml:space="preserve">в 2022 году </w:t>
      </w:r>
      <w:r>
        <w:rPr>
          <w:rFonts w:ascii="Times New Roman" w:eastAsia="Times New Roman" w:hAnsi="Times New Roman" w:cs="Times New Roman"/>
          <w:color w:val="000000"/>
          <w:sz w:val="28"/>
          <w:szCs w:val="28"/>
        </w:rPr>
        <w:t>составили 351,2 млн.</w:t>
      </w:r>
      <w:r w:rsidR="00840AA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руб. – 40,5% консолидированного бюджета Шарангского муниципального округа. Основная часть расходов бюджета направлена на выплату заработной платы работникам образовательных организаций. </w:t>
      </w:r>
    </w:p>
    <w:p w:rsidR="006C780A" w:rsidRDefault="006C780A" w:rsidP="006C780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66A1B">
        <w:rPr>
          <w:rFonts w:ascii="Times New Roman" w:hAnsi="Times New Roman" w:cs="Times New Roman"/>
          <w:sz w:val="28"/>
          <w:szCs w:val="28"/>
        </w:rPr>
        <w:t xml:space="preserve">Среднемесячная заработная плата педагогических работников в 2022 году составила </w:t>
      </w:r>
      <w:r>
        <w:rPr>
          <w:rFonts w:ascii="Times New Roman" w:hAnsi="Times New Roman" w:cs="Times New Roman"/>
          <w:sz w:val="28"/>
          <w:szCs w:val="28"/>
        </w:rPr>
        <w:t>40614</w:t>
      </w:r>
      <w:r w:rsidRPr="00066A1B">
        <w:rPr>
          <w:rFonts w:ascii="Times New Roman" w:hAnsi="Times New Roman" w:cs="Times New Roman"/>
          <w:sz w:val="28"/>
          <w:szCs w:val="28"/>
        </w:rPr>
        <w:t xml:space="preserve"> руб. </w:t>
      </w:r>
      <w:r>
        <w:rPr>
          <w:rFonts w:ascii="Times New Roman" w:hAnsi="Times New Roman" w:cs="Times New Roman"/>
          <w:sz w:val="28"/>
          <w:szCs w:val="28"/>
        </w:rPr>
        <w:t>(в прошлом году – 36 тысяч 073 руб). Рост на  13</w:t>
      </w:r>
      <w:r w:rsidRPr="00066A1B">
        <w:rPr>
          <w:rFonts w:ascii="Times New Roman" w:hAnsi="Times New Roman" w:cs="Times New Roman"/>
          <w:sz w:val="28"/>
          <w:szCs w:val="28"/>
        </w:rPr>
        <w:t>%</w:t>
      </w:r>
    </w:p>
    <w:p w:rsidR="00FA5861" w:rsidRDefault="00FA5861" w:rsidP="00840AA2">
      <w:pPr>
        <w:pBdr>
          <w:bottom w:val="single" w:sz="12" w:space="1" w:color="auto"/>
        </w:pBdr>
        <w:spacing w:after="0" w:line="360" w:lineRule="auto"/>
        <w:ind w:firstLine="708"/>
        <w:jc w:val="both"/>
        <w:rPr>
          <w:rFonts w:ascii="Times New Roman" w:eastAsia="Times New Roman" w:hAnsi="Times New Roman" w:cs="Times New Roman"/>
          <w:color w:val="000000"/>
          <w:sz w:val="28"/>
          <w:szCs w:val="28"/>
        </w:rPr>
      </w:pPr>
    </w:p>
    <w:p w:rsidR="006C780A" w:rsidRDefault="006C780A" w:rsidP="00840AA2">
      <w:pPr>
        <w:pBdr>
          <w:bottom w:val="single" w:sz="12" w:space="1" w:color="auto"/>
        </w:pBdr>
        <w:spacing w:after="0" w:line="360" w:lineRule="auto"/>
        <w:ind w:firstLine="708"/>
        <w:jc w:val="both"/>
        <w:rPr>
          <w:rFonts w:ascii="Times New Roman" w:eastAsia="Times New Roman" w:hAnsi="Times New Roman" w:cs="Times New Roman"/>
          <w:color w:val="000000"/>
          <w:sz w:val="28"/>
          <w:szCs w:val="28"/>
        </w:rPr>
      </w:pPr>
    </w:p>
    <w:p w:rsidR="00FA5861" w:rsidRDefault="00FA5861" w:rsidP="00840AA2">
      <w:pPr>
        <w:pBdr>
          <w:bottom w:val="single" w:sz="12" w:space="1" w:color="auto"/>
        </w:pBdr>
        <w:spacing w:after="0" w:line="36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color w:val="000000"/>
          <w:sz w:val="28"/>
          <w:szCs w:val="28"/>
        </w:rPr>
        <w:t xml:space="preserve">По итогам 2022 года доля педагогических работников общеобразовательных организаций, имеющих высшую квалификационную категорию, составила 39%. По данному показателю Шарангский </w:t>
      </w:r>
      <w:r>
        <w:rPr>
          <w:rFonts w:ascii="Times New Roman" w:eastAsia="Times New Roman" w:hAnsi="Times New Roman" w:cs="Times New Roman"/>
          <w:color w:val="000000"/>
          <w:sz w:val="28"/>
          <w:szCs w:val="28"/>
        </w:rPr>
        <w:lastRenderedPageBreak/>
        <w:t>муниципальный округ стоит на 6 месте в рейтинге муниципалитетов и городских округов Нижегородской области.</w:t>
      </w:r>
      <w:r>
        <w:rPr>
          <w:rFonts w:ascii="Times New Roman" w:hAnsi="Times New Roman" w:cs="Times New Roman"/>
          <w:sz w:val="24"/>
          <w:szCs w:val="24"/>
        </w:rPr>
        <w:t xml:space="preserve"> </w:t>
      </w:r>
    </w:p>
    <w:p w:rsidR="00FA5861" w:rsidRDefault="00FA5861" w:rsidP="00840AA2">
      <w:pPr>
        <w:pBdr>
          <w:bottom w:val="single" w:sz="12" w:space="1" w:color="auto"/>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Результатом работы коллектива педагогов в 2022 году стали следующие достижения:</w:t>
      </w:r>
    </w:p>
    <w:p w:rsidR="00FA5861" w:rsidRDefault="00FA5861" w:rsidP="00840AA2">
      <w:pPr>
        <w:pBdr>
          <w:bottom w:val="single" w:sz="12" w:space="1" w:color="auto"/>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 обучающихся 9-х классов получили аттестат об общем образовании с отличием; </w:t>
      </w:r>
    </w:p>
    <w:p w:rsidR="00FA5861" w:rsidRDefault="00FA5861" w:rsidP="00840AA2">
      <w:pPr>
        <w:pBdr>
          <w:bottom w:val="single" w:sz="12" w:space="1" w:color="auto"/>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- 8 выпускников 11-х классов Шарангской СШ удостоены медалями «За особые успехи учении».</w:t>
      </w:r>
    </w:p>
    <w:p w:rsidR="00FA5861" w:rsidRDefault="00FA5861" w:rsidP="00840AA2">
      <w:pPr>
        <w:pBdr>
          <w:bottom w:val="single" w:sz="12" w:space="1" w:color="auto"/>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части работы с одарёнными детьми – 729 обучающихся стали участниками Всероссийской олимпиады школьников -  самое большое количество обучающихся за последние 9 лет, 18 детей приглашены на региональный этап в г. Н. Новгород. </w:t>
      </w:r>
    </w:p>
    <w:p w:rsidR="00FA5861" w:rsidRDefault="00FA5861" w:rsidP="00840AA2">
      <w:pPr>
        <w:pBdr>
          <w:bottom w:val="single" w:sz="12" w:space="0" w:color="auto"/>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части развития дополнительного образования образовательные организации Шарангского муниципального округа принимают активное участие в реализации мероприятии следующих Федеральных проектов: «Успех каждого ребёнка», «Современная школа», «Цифровая образовательная среда», «Патриотическое воспитание детей и молодёжи Российской Федерации». В рамках проекта «Современная школа» в 2022 году на базе Кушнурской ОШ и Большеустинской ОШ созданы и успешно функционируют Центры развития «Точка роста». В рамках проекта «Цифровая образовательная среда» оборудован цифровой центр на базе Роженцовской СШ. В рамках федерального проекта «Успех каждого ребёнка» Шарангский дом детского творчества вошёл в программу по созданию дополнительных мест в учреждении. </w:t>
      </w:r>
    </w:p>
    <w:p w:rsidR="00FA5861" w:rsidRDefault="00FA5861" w:rsidP="00840AA2">
      <w:pPr>
        <w:pBdr>
          <w:bottom w:val="single" w:sz="12" w:space="0" w:color="auto"/>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ходе реализации проекта «Патриотическое воспитание детей и молодёжи Российской Федерации» все общеобразовательные организации обеспечены комплектами государственной символики, а так же в семи общеобразовательных организациях приняты и начали работу советники директора по воспитанию и взаимодействию с детскими и молодёжными </w:t>
      </w:r>
      <w:r>
        <w:rPr>
          <w:rFonts w:ascii="Times New Roman" w:eastAsia="Times New Roman" w:hAnsi="Times New Roman" w:cs="Times New Roman"/>
          <w:color w:val="000000"/>
          <w:sz w:val="28"/>
          <w:szCs w:val="28"/>
        </w:rPr>
        <w:lastRenderedPageBreak/>
        <w:t>общественными объединениями. Общая стоимость реализации данных проектов составила более 17 млн. руб.</w:t>
      </w:r>
    </w:p>
    <w:p w:rsidR="00FA5861" w:rsidRDefault="00FA5861" w:rsidP="00840AA2">
      <w:pPr>
        <w:pBdr>
          <w:bottom w:val="single" w:sz="12" w:space="0" w:color="auto"/>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2022 году общеобразовательные организации Шарангского района продолжают работать в системе грантовой поддержки. Сумма грандов, полученных для реализации школьных проектов составила более 550 тыс. руб.</w:t>
      </w:r>
    </w:p>
    <w:p w:rsidR="00FA5861" w:rsidRDefault="00FA5861" w:rsidP="00840AA2">
      <w:pPr>
        <w:pBdr>
          <w:bottom w:val="single" w:sz="12" w:space="0" w:color="auto"/>
        </w:pBdr>
        <w:tabs>
          <w:tab w:val="left" w:pos="113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Наряду с развитием кадрового потенциала и совершенствованием образовательных программ большое внимание в 2022 году было уделено развитию инфраструктуры образовательных организаций, в части создания безопасных и комфортных условий для всех участников образовательного процесса. </w:t>
      </w:r>
    </w:p>
    <w:p w:rsidR="00F009B5" w:rsidRDefault="00F009B5" w:rsidP="00840AA2">
      <w:pPr>
        <w:pBdr>
          <w:bottom w:val="single" w:sz="12" w:space="1" w:color="000000"/>
        </w:pBdr>
        <w:spacing w:after="0" w:line="360" w:lineRule="auto"/>
        <w:jc w:val="center"/>
        <w:rPr>
          <w:rFonts w:ascii="Times New Roman" w:hAnsi="Times New Roman"/>
          <w:b/>
          <w:sz w:val="28"/>
          <w:szCs w:val="28"/>
          <w:highlight w:val="yellow"/>
        </w:rPr>
      </w:pPr>
    </w:p>
    <w:p w:rsidR="00BC1DC0" w:rsidRPr="00840AA2" w:rsidRDefault="00C4495F" w:rsidP="00840AA2">
      <w:pPr>
        <w:pBdr>
          <w:bottom w:val="single" w:sz="12" w:space="1" w:color="000000"/>
        </w:pBdr>
        <w:spacing w:after="0" w:line="360" w:lineRule="auto"/>
        <w:jc w:val="center"/>
        <w:rPr>
          <w:rFonts w:ascii="Times New Roman" w:eastAsia="Calibri" w:hAnsi="Times New Roman" w:cs="Times New Roman"/>
          <w:b/>
          <w:sz w:val="28"/>
          <w:szCs w:val="28"/>
        </w:rPr>
      </w:pPr>
      <w:r w:rsidRPr="00840AA2">
        <w:rPr>
          <w:rFonts w:ascii="Times New Roman" w:hAnsi="Times New Roman"/>
          <w:b/>
          <w:sz w:val="28"/>
          <w:szCs w:val="28"/>
          <w:lang w:val="en-US"/>
        </w:rPr>
        <w:t>V</w:t>
      </w:r>
      <w:r w:rsidR="008656AA" w:rsidRPr="00840AA2">
        <w:rPr>
          <w:rFonts w:ascii="Times New Roman" w:eastAsia="Calibri" w:hAnsi="Times New Roman" w:cs="Times New Roman"/>
          <w:b/>
          <w:sz w:val="28"/>
          <w:szCs w:val="28"/>
        </w:rPr>
        <w:t>.Культура</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В ведомстве отдела культуры, туризма и народных промыслов находятся следующие учреждения и подразделения:</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 xml:space="preserve"> </w:t>
      </w:r>
      <w:r w:rsidRPr="00066A1B">
        <w:rPr>
          <w:rFonts w:ascii="Times New Roman" w:eastAsia="Times New Roman" w:hAnsi="Times New Roman" w:cs="Times New Roman"/>
          <w:color w:val="000000"/>
          <w:sz w:val="28"/>
          <w:szCs w:val="28"/>
        </w:rPr>
        <w:tab/>
        <w:t>Муниципальное бюджетное учреждение культуры «Шарангский районный Дом культуры»;</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 xml:space="preserve"> </w:t>
      </w:r>
      <w:r w:rsidRPr="00066A1B">
        <w:rPr>
          <w:rFonts w:ascii="Times New Roman" w:eastAsia="Times New Roman" w:hAnsi="Times New Roman" w:cs="Times New Roman"/>
          <w:color w:val="000000"/>
          <w:sz w:val="28"/>
          <w:szCs w:val="28"/>
        </w:rPr>
        <w:tab/>
        <w:t>Муниципальное бюджетное учреждение культуры «Шарангская це</w:t>
      </w:r>
      <w:r w:rsidR="00C4495F">
        <w:rPr>
          <w:rFonts w:ascii="Times New Roman" w:eastAsia="Times New Roman" w:hAnsi="Times New Roman" w:cs="Times New Roman"/>
          <w:color w:val="000000"/>
          <w:sz w:val="28"/>
          <w:szCs w:val="28"/>
        </w:rPr>
        <w:t>нтрализованная клубная система»</w:t>
      </w:r>
      <w:r w:rsidRPr="00066A1B">
        <w:rPr>
          <w:rFonts w:ascii="Times New Roman" w:eastAsia="Times New Roman" w:hAnsi="Times New Roman" w:cs="Times New Roman"/>
          <w:color w:val="000000"/>
          <w:sz w:val="28"/>
          <w:szCs w:val="28"/>
        </w:rPr>
        <w:t>, включающая  10 сельских Домов культуры, два сельских клуба;</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 xml:space="preserve"> </w:t>
      </w:r>
      <w:r w:rsidRPr="00066A1B">
        <w:rPr>
          <w:rFonts w:ascii="Times New Roman" w:eastAsia="Times New Roman" w:hAnsi="Times New Roman" w:cs="Times New Roman"/>
          <w:color w:val="000000"/>
          <w:sz w:val="28"/>
          <w:szCs w:val="28"/>
        </w:rPr>
        <w:tab/>
        <w:t>Муниципальное бюджетное учреждение культуры «Шарангский народный краеведческий музей»;</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 xml:space="preserve"> </w:t>
      </w:r>
      <w:r w:rsidRPr="00066A1B">
        <w:rPr>
          <w:rFonts w:ascii="Times New Roman" w:eastAsia="Times New Roman" w:hAnsi="Times New Roman" w:cs="Times New Roman"/>
          <w:color w:val="000000"/>
          <w:sz w:val="28"/>
          <w:szCs w:val="28"/>
        </w:rPr>
        <w:tab/>
        <w:t>Муниципальное бюджетное учреждение культуры «Межпоселенческая централизованная библиотечная система» -  это центральная, детская и 11 сельских библиотек;</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 xml:space="preserve"> </w:t>
      </w:r>
      <w:r w:rsidRPr="00066A1B">
        <w:rPr>
          <w:rFonts w:ascii="Times New Roman" w:eastAsia="Times New Roman" w:hAnsi="Times New Roman" w:cs="Times New Roman"/>
          <w:color w:val="000000"/>
          <w:sz w:val="28"/>
          <w:szCs w:val="28"/>
        </w:rPr>
        <w:tab/>
        <w:t>Муниципальное бюджетное учреждение дополнительного образования Шарангская детская школа искусств.</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 xml:space="preserve"> </w:t>
      </w:r>
      <w:r w:rsidRPr="00066A1B">
        <w:rPr>
          <w:rFonts w:ascii="Times New Roman" w:eastAsia="Times New Roman" w:hAnsi="Times New Roman" w:cs="Times New Roman"/>
          <w:color w:val="000000"/>
          <w:sz w:val="28"/>
          <w:szCs w:val="28"/>
        </w:rPr>
        <w:tab/>
        <w:t xml:space="preserve">Основными показателями деятельности учреждений по-прежнему остаются количество мероприятий и посетителей, выполнение плана по внебюджетным доходам, выполнение муниципального задания, </w:t>
      </w:r>
      <w:r w:rsidRPr="00066A1B">
        <w:rPr>
          <w:rFonts w:ascii="Times New Roman" w:eastAsia="Times New Roman" w:hAnsi="Times New Roman" w:cs="Times New Roman"/>
          <w:color w:val="000000"/>
          <w:sz w:val="28"/>
          <w:szCs w:val="28"/>
        </w:rPr>
        <w:lastRenderedPageBreak/>
        <w:t>результативность участия в творческих  конкурсах и фестивалях, внедрение новых форм работы, укрепление материально-технической базы.</w:t>
      </w:r>
    </w:p>
    <w:p w:rsid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Общее количество мероприятий с очным присутствием посетителей составило 4641, что на 2711 мероприятий больше, чем в предыдущем году. В том  числе  платных 564, рост на 490.</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 xml:space="preserve">Число посетителей этих мероприятий составило 238 тысяч 687 человек. В прошлом году только 37,3 тысячи . </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Увеличение числа мероприятий и посещений связано с тем, что в полной мере возобновлено проведение мероприятий с очным присутствием посетителей, проведён ряд новых мероприятий (I Межрегиональный байк-фестиваль «Волчий угол», Межрегиональный фестиваль марийской культуры «Шочмо мландэ» и проч.) с большим количеством посетителей, а также изменён метод подсчёта в соответствии с рекомендациями Министерства культуры НО.</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Охват населения библиотечным обслуживанием в 2022 году составил 81%. Количество  читателей  увеличилось  с 7670 человек  до 9289, а количество  посещений возросло на 88 тысяч.</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Музейный фонд насчитывает 8212 единицу хранения, из них 5686 предметов основного фонда и 2526 предметов научно-вспомогательного фонда. В 2022 году фонды музея пополнились на 181 единицу.</w:t>
      </w:r>
    </w:p>
    <w:p w:rsidR="00324E84"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Доходы от собственной деятельности учреждений в 2022 году увеличились на 1 млн. 261 тыс. рублей по сравнению с прошлым годом и составили 4 млн. 054 тыс. руб. План по доходам от внебюджетной деятельности выполнен на 92,7%.</w:t>
      </w:r>
    </w:p>
    <w:p w:rsidR="00066A1B" w:rsidRDefault="00324E84"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324E84">
        <w:rPr>
          <w:rFonts w:ascii="Times New Roman" w:eastAsia="Times New Roman" w:hAnsi="Times New Roman" w:cs="Times New Roman"/>
          <w:color w:val="000000"/>
          <w:sz w:val="28"/>
          <w:szCs w:val="28"/>
        </w:rPr>
        <w:t xml:space="preserve">Размер средней заработной платы работников муниципальных учреждений культуры Шарангского района за 2022 год   составил   42 тыс. 152 рубля, </w:t>
      </w:r>
      <w:r>
        <w:rPr>
          <w:rFonts w:ascii="Times New Roman" w:eastAsia="Times New Roman" w:hAnsi="Times New Roman" w:cs="Times New Roman"/>
          <w:color w:val="000000"/>
          <w:sz w:val="28"/>
          <w:szCs w:val="28"/>
        </w:rPr>
        <w:t xml:space="preserve"> </w:t>
      </w:r>
      <w:r w:rsidRPr="00324E84">
        <w:rPr>
          <w:rFonts w:ascii="Times New Roman" w:eastAsia="Times New Roman" w:hAnsi="Times New Roman" w:cs="Times New Roman"/>
          <w:color w:val="000000"/>
          <w:sz w:val="28"/>
          <w:szCs w:val="28"/>
        </w:rPr>
        <w:t>рост к прошлому году на 19 %.</w:t>
      </w:r>
    </w:p>
    <w:p w:rsidR="00324E84" w:rsidRPr="00066A1B" w:rsidRDefault="00324E84"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lastRenderedPageBreak/>
        <w:t xml:space="preserve"> В 2022 году общий бюджет отрасли культуры составил 76 млн. 517 тыс. рублей. На 2023 год финансирование заложено в объёме 91 730 937,52 рублей.</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 xml:space="preserve">Ежегодно клубные учреждения участвуют в проекте «Культура малой Родины» (субсидия на развитие и укрепление материально-технической базы муниципальных домов культуры в населённых пунктах с числом жителей до 50 тысяч человек). </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В 2022 году в рамках проекта приобретено оборудование для Шарангского районного Дома культуры на сумму 572,845 тыс.руб. (410,719 – ФБ; 129,700 – ОБ; 32,425 – МБ).</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 xml:space="preserve">За счёт средств районного бюджета проведены ремонт крыльца Щенниковского сельского клуба, а также ремонт пола и установка вентиляционных окон в цоколе тамбура Роженцовского сельского Дома культуры </w:t>
      </w:r>
      <w:r w:rsidR="006C780A">
        <w:rPr>
          <w:rFonts w:ascii="Times New Roman" w:eastAsia="Times New Roman" w:hAnsi="Times New Roman" w:cs="Times New Roman"/>
          <w:color w:val="000000"/>
          <w:sz w:val="28"/>
          <w:szCs w:val="28"/>
        </w:rPr>
        <w:t xml:space="preserve">, </w:t>
      </w:r>
      <w:r w:rsidRPr="00066A1B">
        <w:rPr>
          <w:rFonts w:ascii="Times New Roman" w:eastAsia="Times New Roman" w:hAnsi="Times New Roman" w:cs="Times New Roman"/>
          <w:color w:val="000000"/>
          <w:sz w:val="28"/>
          <w:szCs w:val="28"/>
        </w:rPr>
        <w:t xml:space="preserve">косметический ремонт фойе, частичный ремонт теплотрассы и отмостки здания Шарангского народного краеведческого музея, приобретены информационные стенды. </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На комплектование книжного фонда выделена субсидия в размере 45,7 тыс.</w:t>
      </w:r>
      <w:r w:rsidR="006C780A">
        <w:rPr>
          <w:rFonts w:ascii="Times New Roman" w:eastAsia="Times New Roman" w:hAnsi="Times New Roman" w:cs="Times New Roman"/>
          <w:color w:val="000000"/>
          <w:sz w:val="28"/>
          <w:szCs w:val="28"/>
        </w:rPr>
        <w:t xml:space="preserve"> </w:t>
      </w:r>
      <w:r w:rsidRPr="00066A1B">
        <w:rPr>
          <w:rFonts w:ascii="Times New Roman" w:eastAsia="Times New Roman" w:hAnsi="Times New Roman" w:cs="Times New Roman"/>
          <w:color w:val="000000"/>
          <w:sz w:val="28"/>
          <w:szCs w:val="28"/>
        </w:rPr>
        <w:t>руб. (32,724 – ФБ, 10,333 – ОБ, 2,583  МБ), на подписку выделено 255 тыс.руб. из муниципального бюджета.</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С 1 сентября 2021 года в России стартовал масштабный проект «Пушкинская карта», благодаря которому молодые люди в возрасте от 14 до 22 лет могут за счёт государства посещать культурные мероприятия в учреждениях-участниках проекта. Все учреждения культуры Шарангского муниципального округа активно включились в проект.</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За 2022 год учреждения провели 162 мероприятия в рамках программы «Пушкинская карта», продано 5680 билетов, заработано 1млн. 414 тыс. рублей.</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r w:rsidRPr="00066A1B">
        <w:rPr>
          <w:rFonts w:ascii="Times New Roman" w:eastAsia="Times New Roman" w:hAnsi="Times New Roman" w:cs="Times New Roman"/>
          <w:color w:val="000000"/>
          <w:sz w:val="28"/>
          <w:szCs w:val="28"/>
        </w:rPr>
        <w:t>В 2022 году район посетили 360 туристов (размещенных в средствах размещения граждан), количество экскурсантов – 2353 человека (по данным музея).</w:t>
      </w:r>
    </w:p>
    <w:p w:rsidR="00066A1B" w:rsidRPr="00066A1B" w:rsidRDefault="00066A1B" w:rsidP="00840AA2">
      <w:pPr>
        <w:pBdr>
          <w:bottom w:val="single" w:sz="12" w:space="1" w:color="000000"/>
        </w:pBdr>
        <w:spacing w:after="0" w:line="360" w:lineRule="auto"/>
        <w:jc w:val="both"/>
        <w:rPr>
          <w:rFonts w:ascii="Times New Roman" w:eastAsia="Times New Roman" w:hAnsi="Times New Roman" w:cs="Times New Roman"/>
          <w:color w:val="000000"/>
          <w:sz w:val="28"/>
          <w:szCs w:val="28"/>
        </w:rPr>
      </w:pPr>
    </w:p>
    <w:p w:rsidR="007B618B" w:rsidRPr="00840AA2" w:rsidRDefault="00C4495F" w:rsidP="00840AA2">
      <w:pPr>
        <w:spacing w:after="0" w:line="360" w:lineRule="auto"/>
        <w:jc w:val="center"/>
        <w:rPr>
          <w:rFonts w:ascii="Times New Roman" w:hAnsi="Times New Roman"/>
          <w:b/>
          <w:sz w:val="28"/>
          <w:szCs w:val="28"/>
        </w:rPr>
      </w:pPr>
      <w:r w:rsidRPr="00840AA2">
        <w:rPr>
          <w:rStyle w:val="FontStyle14"/>
          <w:rFonts w:ascii="Times New Roman" w:hAnsi="Times New Roman" w:cs="Times New Roman"/>
          <w:sz w:val="28"/>
          <w:szCs w:val="28"/>
          <w:lang w:val="en-US"/>
        </w:rPr>
        <w:t>VI</w:t>
      </w:r>
      <w:r w:rsidR="007B618B" w:rsidRPr="00840AA2">
        <w:rPr>
          <w:rFonts w:ascii="Times New Roman" w:hAnsi="Times New Roman"/>
          <w:b/>
          <w:sz w:val="28"/>
          <w:szCs w:val="28"/>
        </w:rPr>
        <w:t>.</w:t>
      </w:r>
      <w:r w:rsidR="00840AA2">
        <w:rPr>
          <w:rFonts w:ascii="Times New Roman" w:hAnsi="Times New Roman"/>
          <w:b/>
          <w:sz w:val="28"/>
          <w:szCs w:val="28"/>
        </w:rPr>
        <w:t xml:space="preserve"> </w:t>
      </w:r>
      <w:r w:rsidR="007B618B" w:rsidRPr="00840AA2">
        <w:rPr>
          <w:rFonts w:ascii="Times New Roman" w:hAnsi="Times New Roman"/>
          <w:b/>
          <w:sz w:val="28"/>
          <w:szCs w:val="28"/>
        </w:rPr>
        <w:t>Физическая культура и спорт</w:t>
      </w:r>
    </w:p>
    <w:p w:rsidR="00C4495F" w:rsidRDefault="00C4495F" w:rsidP="00390DF8">
      <w:pPr>
        <w:spacing w:line="360" w:lineRule="auto"/>
        <w:jc w:val="both"/>
        <w:rPr>
          <w:rStyle w:val="FontStyle52"/>
          <w:color w:val="000000"/>
          <w:sz w:val="28"/>
          <w:szCs w:val="28"/>
        </w:rPr>
      </w:pPr>
      <w:r>
        <w:rPr>
          <w:rStyle w:val="FontStyle52"/>
          <w:color w:val="000000"/>
          <w:sz w:val="28"/>
          <w:szCs w:val="28"/>
        </w:rPr>
        <w:t xml:space="preserve">Физическая культура и спорт в нашем округе является одной из основных составляющих социальной политики. </w:t>
      </w:r>
      <w:r>
        <w:rPr>
          <w:sz w:val="28"/>
          <w:szCs w:val="28"/>
        </w:rPr>
        <w:t xml:space="preserve"> </w:t>
      </w:r>
      <w:r>
        <w:rPr>
          <w:rStyle w:val="FontStyle52"/>
          <w:color w:val="000000"/>
          <w:sz w:val="28"/>
          <w:szCs w:val="28"/>
        </w:rPr>
        <w:t>Основная физкультурно – спортивная работа проводится в школах района, Шарангском ДЮЦ и МАУ «ФОК в р.п.Шаранга Нижегородской области».</w:t>
      </w:r>
      <w:r w:rsidR="006C780A">
        <w:rPr>
          <w:rStyle w:val="FontStyle52"/>
          <w:color w:val="000000"/>
          <w:sz w:val="28"/>
          <w:szCs w:val="28"/>
        </w:rPr>
        <w:t xml:space="preserve"> </w:t>
      </w:r>
      <w:r>
        <w:rPr>
          <w:rStyle w:val="FontStyle52"/>
          <w:color w:val="000000"/>
          <w:sz w:val="28"/>
          <w:szCs w:val="28"/>
        </w:rPr>
        <w:t>В округе трудится 40 штатных работников физической культуры и спорта, из которых 23 имеют высшее и 17 среднее специальное образование.</w:t>
      </w:r>
      <w:r w:rsidR="006C780A">
        <w:rPr>
          <w:rStyle w:val="FontStyle52"/>
          <w:color w:val="000000"/>
          <w:sz w:val="28"/>
          <w:szCs w:val="28"/>
        </w:rPr>
        <w:t xml:space="preserve"> </w:t>
      </w:r>
      <w:r>
        <w:rPr>
          <w:rStyle w:val="FontStyle52"/>
          <w:color w:val="000000"/>
          <w:sz w:val="28"/>
          <w:szCs w:val="28"/>
        </w:rPr>
        <w:t>На  территории округа  имеется 73 спортсооружения, из них 13  спортивных залов  и 37 спортивных площадок. Уровень обеспеченности граждан спортивными сооружениями, исходя из единовременной пропускной способности объектов спорта, составляет 137,5%.</w:t>
      </w:r>
      <w:r w:rsidR="006C780A">
        <w:rPr>
          <w:rStyle w:val="FontStyle52"/>
          <w:color w:val="000000"/>
          <w:sz w:val="28"/>
          <w:szCs w:val="28"/>
        </w:rPr>
        <w:t xml:space="preserve"> </w:t>
      </w:r>
      <w:r>
        <w:rPr>
          <w:rStyle w:val="FontStyle52"/>
          <w:color w:val="000000"/>
          <w:sz w:val="28"/>
          <w:szCs w:val="28"/>
        </w:rPr>
        <w:t>На развитие физкультуры и спорта в 2022 году  из всех видов  бюджета  поступило  67 млн. 854 тыс. рублей (2021 год – 67 млн. 049 тыс. рублей), в том  числе  из районного бюджета 61 млн.213 тыс. рубле</w:t>
      </w:r>
      <w:r w:rsidR="006C780A">
        <w:rPr>
          <w:rStyle w:val="FontStyle52"/>
          <w:color w:val="000000"/>
          <w:sz w:val="28"/>
          <w:szCs w:val="28"/>
        </w:rPr>
        <w:t xml:space="preserve">. </w:t>
      </w:r>
      <w:r>
        <w:rPr>
          <w:rStyle w:val="FontStyle52"/>
          <w:color w:val="000000"/>
          <w:sz w:val="28"/>
          <w:szCs w:val="28"/>
        </w:rPr>
        <w:t>Число занимающихся физической культурой и спортом в возрасте от 3 до79 лет в 2022 г</w:t>
      </w:r>
      <w:r w:rsidR="006C780A">
        <w:rPr>
          <w:rStyle w:val="FontStyle52"/>
          <w:color w:val="000000"/>
          <w:sz w:val="28"/>
          <w:szCs w:val="28"/>
        </w:rPr>
        <w:t>оду увеличилось до 5580 человек</w:t>
      </w:r>
      <w:r>
        <w:rPr>
          <w:rStyle w:val="FontStyle52"/>
          <w:color w:val="000000"/>
          <w:sz w:val="28"/>
          <w:szCs w:val="28"/>
        </w:rPr>
        <w:t>, что  составляет 53,9%. Что  больше уровня   прошлого года на 7,3 %.</w:t>
      </w:r>
      <w:r w:rsidR="006C780A">
        <w:rPr>
          <w:rStyle w:val="FontStyle52"/>
          <w:color w:val="000000"/>
          <w:sz w:val="28"/>
          <w:szCs w:val="28"/>
        </w:rPr>
        <w:t xml:space="preserve"> </w:t>
      </w:r>
      <w:r>
        <w:rPr>
          <w:rStyle w:val="FontStyle52"/>
          <w:color w:val="000000"/>
          <w:sz w:val="28"/>
          <w:szCs w:val="28"/>
        </w:rPr>
        <w:t>Доля детей и молодежи от 3 до 29 лет, систематически занимающихся физической культурой и спортом в Шарангском районе, в общей численности детей и молодежи составила 90,0% (В 2021 году – 87,0%). 2060 детей в возрасте от 3-х до 18 лет занимаются</w:t>
      </w:r>
      <w:r w:rsidR="006C780A">
        <w:rPr>
          <w:rStyle w:val="FontStyle52"/>
          <w:color w:val="000000"/>
          <w:sz w:val="28"/>
          <w:szCs w:val="28"/>
        </w:rPr>
        <w:t xml:space="preserve"> в различных секциях</w:t>
      </w:r>
      <w:r>
        <w:rPr>
          <w:rStyle w:val="FontStyle52"/>
          <w:color w:val="000000"/>
          <w:sz w:val="28"/>
          <w:szCs w:val="28"/>
        </w:rPr>
        <w:t xml:space="preserve"> Основная работа в этом направлении проводится в школах района, Шарангском ДЮЦ и МАУ «ФОК в р.п.</w:t>
      </w:r>
      <w:r w:rsidR="00390DF8">
        <w:rPr>
          <w:rStyle w:val="FontStyle52"/>
          <w:color w:val="000000"/>
          <w:sz w:val="28"/>
          <w:szCs w:val="28"/>
        </w:rPr>
        <w:t xml:space="preserve"> </w:t>
      </w:r>
      <w:r>
        <w:rPr>
          <w:rStyle w:val="FontStyle52"/>
          <w:color w:val="000000"/>
          <w:sz w:val="28"/>
          <w:szCs w:val="28"/>
        </w:rPr>
        <w:t>Шаранга Нижегородской области.</w:t>
      </w:r>
      <w:r w:rsidR="006C780A">
        <w:rPr>
          <w:rStyle w:val="FontStyle52"/>
          <w:color w:val="000000"/>
          <w:sz w:val="28"/>
          <w:szCs w:val="28"/>
        </w:rPr>
        <w:t xml:space="preserve"> </w:t>
      </w:r>
      <w:r>
        <w:rPr>
          <w:rStyle w:val="FontStyle52"/>
          <w:color w:val="000000"/>
          <w:sz w:val="28"/>
          <w:szCs w:val="28"/>
        </w:rPr>
        <w:t>Доля граждан старшего возраста, систематически занимающихся физической культурой и спортом в Шарангском округе, в общей численности граждан старшего возраста в 2022 году составила 18,5% (В 2021 году – 12,4%).</w:t>
      </w:r>
      <w:r w:rsidR="006C780A">
        <w:rPr>
          <w:rStyle w:val="FontStyle52"/>
          <w:color w:val="000000"/>
          <w:sz w:val="28"/>
          <w:szCs w:val="28"/>
        </w:rPr>
        <w:t xml:space="preserve"> </w:t>
      </w:r>
      <w:r>
        <w:rPr>
          <w:rStyle w:val="FontStyle52"/>
          <w:color w:val="000000"/>
          <w:sz w:val="28"/>
          <w:szCs w:val="28"/>
        </w:rPr>
        <w:t xml:space="preserve">В различных секциях укрепляют свое здоровье 347 человек с ограниченными возможностями, что составило 32,3%  от всех инвалидов </w:t>
      </w:r>
      <w:r w:rsidR="00390DF8">
        <w:rPr>
          <w:rStyle w:val="FontStyle52"/>
          <w:color w:val="000000"/>
          <w:sz w:val="28"/>
          <w:szCs w:val="28"/>
        </w:rPr>
        <w:t xml:space="preserve"> </w:t>
      </w:r>
      <w:r>
        <w:rPr>
          <w:rStyle w:val="FontStyle52"/>
          <w:color w:val="000000"/>
          <w:sz w:val="28"/>
          <w:szCs w:val="28"/>
        </w:rPr>
        <w:t xml:space="preserve">в районе(в 2021 году – 28,6%). </w:t>
      </w:r>
    </w:p>
    <w:p w:rsidR="00C4495F" w:rsidRDefault="00C4495F" w:rsidP="00840AA2">
      <w:pPr>
        <w:spacing w:line="360" w:lineRule="auto"/>
        <w:jc w:val="both"/>
        <w:rPr>
          <w:rStyle w:val="FontStyle52"/>
          <w:color w:val="000000"/>
          <w:sz w:val="28"/>
          <w:szCs w:val="28"/>
        </w:rPr>
      </w:pPr>
      <w:r>
        <w:rPr>
          <w:rStyle w:val="FontStyle52"/>
          <w:color w:val="000000"/>
          <w:sz w:val="28"/>
          <w:szCs w:val="28"/>
        </w:rPr>
        <w:lastRenderedPageBreak/>
        <w:t>В 2022 году сектором по физкультуре и спорту было проведено 141 спортивно-массовых мероприятие , в которых приняли участие более 11000 человек. Самыми популярными и более массовыми видами спорта у населения района остаются волейбол, баскетбол, футбол, легкая атлетика, лыжные гонки. По всем этим видам, а так же по шахматам, шашкам, боксу, мини-футболу, хоккею, настольному теннису,  дзюдо, дартсу, пауэрлифтингу, стритболу, плаванию, флорболу, стрельбе, бильярду проводились районные соревнования. Сильнейшие спортсмены и команды района принимали участие в соревнованиях различного уровня.</w:t>
      </w:r>
      <w:r w:rsidR="00390DF8">
        <w:rPr>
          <w:rStyle w:val="FontStyle52"/>
          <w:color w:val="000000"/>
          <w:sz w:val="28"/>
          <w:szCs w:val="28"/>
        </w:rPr>
        <w:t xml:space="preserve"> </w:t>
      </w:r>
      <w:r>
        <w:rPr>
          <w:rStyle w:val="FontStyle52"/>
          <w:color w:val="000000"/>
          <w:sz w:val="28"/>
          <w:szCs w:val="28"/>
        </w:rPr>
        <w:t>Волейбольные команды девушек в течении года выиграли пять турниров различного уровня и завоевали 3-е место на соревнованиях Первенства Нижегородской области.  Флорбольная команда «Север» стала победителем  Первенства Нижегородской об</w:t>
      </w:r>
      <w:r w:rsidR="00390DF8">
        <w:rPr>
          <w:rStyle w:val="FontStyle52"/>
          <w:color w:val="000000"/>
          <w:sz w:val="28"/>
          <w:szCs w:val="28"/>
        </w:rPr>
        <w:t>ласти в двух возрастных группах</w:t>
      </w:r>
      <w:r>
        <w:rPr>
          <w:rStyle w:val="FontStyle52"/>
          <w:color w:val="000000"/>
          <w:sz w:val="28"/>
          <w:szCs w:val="28"/>
        </w:rPr>
        <w:t>: среди команд юношей 2007-2008 и 2011-2012 годов рождения.</w:t>
      </w:r>
      <w:r w:rsidR="00390DF8">
        <w:rPr>
          <w:rStyle w:val="FontStyle52"/>
          <w:color w:val="000000"/>
          <w:sz w:val="28"/>
          <w:szCs w:val="28"/>
        </w:rPr>
        <w:t xml:space="preserve"> </w:t>
      </w:r>
      <w:r>
        <w:rPr>
          <w:rStyle w:val="FontStyle52"/>
          <w:color w:val="000000"/>
          <w:sz w:val="28"/>
          <w:szCs w:val="28"/>
        </w:rPr>
        <w:t>Юные спортсмены района становились победителями областных зональных соревнований по футболу, мини-футболу, дзюдо, пауэрлифтингу, плаванию, волейболу, флорболу и хоккею.</w:t>
      </w:r>
    </w:p>
    <w:p w:rsidR="00C4495F" w:rsidRDefault="00C4495F" w:rsidP="00840AA2">
      <w:pPr>
        <w:spacing w:line="360" w:lineRule="auto"/>
        <w:jc w:val="both"/>
        <w:rPr>
          <w:rStyle w:val="FontStyle52"/>
          <w:color w:val="000000"/>
          <w:sz w:val="28"/>
          <w:szCs w:val="28"/>
        </w:rPr>
      </w:pPr>
      <w:r>
        <w:rPr>
          <w:rStyle w:val="FontStyle52"/>
          <w:color w:val="000000"/>
          <w:sz w:val="28"/>
          <w:szCs w:val="28"/>
        </w:rPr>
        <w:t xml:space="preserve">    В 2022 году было проведено 8 мероприятий ВФСК «Готов к труду и обороне» (ГТО). 361 житель района  принимал участие в сдаче тестов норм ГТО. </w:t>
      </w:r>
    </w:p>
    <w:p w:rsidR="007B618B" w:rsidRPr="00390DF8" w:rsidRDefault="007B618B" w:rsidP="00390DF8">
      <w:pPr>
        <w:spacing w:after="0" w:line="360" w:lineRule="auto"/>
        <w:jc w:val="center"/>
        <w:rPr>
          <w:rFonts w:ascii="Times New Roman" w:hAnsi="Times New Roman"/>
          <w:b/>
          <w:sz w:val="28"/>
          <w:szCs w:val="28"/>
        </w:rPr>
      </w:pPr>
      <w:r w:rsidRPr="00390DF8">
        <w:rPr>
          <w:rFonts w:ascii="Times New Roman" w:hAnsi="Times New Roman"/>
          <w:b/>
          <w:sz w:val="28"/>
          <w:szCs w:val="28"/>
          <w:lang w:val="en-US"/>
        </w:rPr>
        <w:t>VI</w:t>
      </w:r>
      <w:r w:rsidR="00C4495F" w:rsidRPr="00390DF8">
        <w:rPr>
          <w:rFonts w:ascii="Times New Roman" w:hAnsi="Times New Roman"/>
          <w:b/>
          <w:sz w:val="28"/>
          <w:szCs w:val="28"/>
          <w:lang w:val="en-US"/>
        </w:rPr>
        <w:t>I</w:t>
      </w:r>
      <w:r w:rsidRPr="00390DF8">
        <w:rPr>
          <w:rFonts w:ascii="Times New Roman" w:hAnsi="Times New Roman"/>
          <w:b/>
          <w:sz w:val="28"/>
          <w:szCs w:val="28"/>
        </w:rPr>
        <w:t>.Жилищное строительство и обеспечение граждан жильем</w:t>
      </w:r>
    </w:p>
    <w:p w:rsidR="009A58E3" w:rsidRPr="00390DF8" w:rsidRDefault="008D608F" w:rsidP="00390DF8">
      <w:pPr>
        <w:spacing w:line="360" w:lineRule="auto"/>
        <w:ind w:firstLine="567"/>
        <w:jc w:val="both"/>
        <w:rPr>
          <w:rFonts w:ascii="Times New Roman" w:eastAsia="Calibri" w:hAnsi="Times New Roman" w:cs="Times New Roman"/>
          <w:bCs/>
          <w:sz w:val="28"/>
          <w:szCs w:val="28"/>
        </w:rPr>
      </w:pPr>
      <w:r w:rsidRPr="009A58E3">
        <w:rPr>
          <w:rFonts w:ascii="Times New Roman" w:eastAsia="Calibri" w:hAnsi="Times New Roman" w:cs="Times New Roman"/>
          <w:sz w:val="28"/>
          <w:szCs w:val="28"/>
        </w:rPr>
        <w:t xml:space="preserve">Успешное участие района в жилищных программах позволяет улучшать условия жизни различных категорий граждан и является основным приоритетным направлением работы администрации </w:t>
      </w:r>
      <w:r w:rsidRPr="009A58E3">
        <w:rPr>
          <w:rStyle w:val="FontStyle14"/>
          <w:rFonts w:ascii="Times New Roman" w:eastAsia="Calibri" w:hAnsi="Times New Roman" w:cs="Times New Roman"/>
          <w:b w:val="0"/>
          <w:sz w:val="28"/>
          <w:szCs w:val="28"/>
        </w:rPr>
        <w:t>в жилищном строительстве.</w:t>
      </w:r>
      <w:r w:rsidR="00390DF8">
        <w:rPr>
          <w:rStyle w:val="FontStyle14"/>
          <w:rFonts w:ascii="Times New Roman" w:eastAsia="Calibri" w:hAnsi="Times New Roman" w:cs="Times New Roman"/>
          <w:b w:val="0"/>
          <w:sz w:val="28"/>
          <w:szCs w:val="28"/>
        </w:rPr>
        <w:t xml:space="preserve"> </w:t>
      </w:r>
      <w:r w:rsidR="009A58E3">
        <w:rPr>
          <w:rFonts w:ascii="Times New Roman" w:hAnsi="Times New Roman" w:cs="Times New Roman"/>
          <w:color w:val="000000"/>
          <w:sz w:val="28"/>
          <w:szCs w:val="28"/>
        </w:rPr>
        <w:t>В рамках реализации</w:t>
      </w:r>
      <w:r w:rsidR="009A58E3">
        <w:rPr>
          <w:rFonts w:ascii="Times New Roman" w:hAnsi="Times New Roman" w:cs="Times New Roman"/>
          <w:b/>
          <w:color w:val="000000"/>
          <w:sz w:val="28"/>
          <w:szCs w:val="28"/>
        </w:rPr>
        <w:t xml:space="preserve"> </w:t>
      </w:r>
      <w:r w:rsidR="009A58E3" w:rsidRPr="00840AA2">
        <w:rPr>
          <w:rFonts w:ascii="Times New Roman" w:hAnsi="Times New Roman" w:cs="Times New Roman"/>
          <w:color w:val="000000"/>
          <w:sz w:val="28"/>
          <w:szCs w:val="28"/>
        </w:rPr>
        <w:t xml:space="preserve">подпрограммы «Обеспечение жильем молодых семей в Нижегородской области» государственной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 утвержденная постановлением Правительства Нижегородской области от 30 </w:t>
      </w:r>
      <w:r w:rsidR="009A58E3" w:rsidRPr="00840AA2">
        <w:rPr>
          <w:rFonts w:ascii="Times New Roman" w:hAnsi="Times New Roman" w:cs="Times New Roman"/>
          <w:color w:val="000000"/>
          <w:sz w:val="28"/>
          <w:szCs w:val="28"/>
        </w:rPr>
        <w:lastRenderedPageBreak/>
        <w:t>апреля 2014 года № 302</w:t>
      </w:r>
      <w:r w:rsidR="009A58E3">
        <w:rPr>
          <w:rFonts w:ascii="Times New Roman" w:hAnsi="Times New Roman" w:cs="Times New Roman"/>
          <w:b/>
          <w:color w:val="000000"/>
          <w:sz w:val="28"/>
          <w:szCs w:val="28"/>
        </w:rPr>
        <w:t xml:space="preserve"> </w:t>
      </w:r>
      <w:r w:rsidR="009A58E3">
        <w:rPr>
          <w:rFonts w:ascii="Times New Roman" w:hAnsi="Times New Roman" w:cs="Times New Roman"/>
          <w:color w:val="000000"/>
          <w:sz w:val="28"/>
          <w:szCs w:val="28"/>
        </w:rPr>
        <w:t>в 2022 году 2 молодые семьи получили субсидии в на погашение жилищного кредита (ипотеки) на приобретение жилого помещения. Всего на эти цели перечислено –</w:t>
      </w:r>
      <w:r w:rsidR="009A58E3">
        <w:rPr>
          <w:rFonts w:ascii="Times New Roman" w:hAnsi="Times New Roman" w:cs="Times New Roman"/>
          <w:b/>
          <w:color w:val="000000"/>
          <w:sz w:val="28"/>
          <w:szCs w:val="28"/>
        </w:rPr>
        <w:t xml:space="preserve">1 </w:t>
      </w:r>
      <w:r w:rsidR="009A58E3" w:rsidRPr="00840AA2">
        <w:rPr>
          <w:rFonts w:ascii="Times New Roman" w:hAnsi="Times New Roman" w:cs="Times New Roman"/>
          <w:color w:val="000000"/>
          <w:sz w:val="28"/>
          <w:szCs w:val="28"/>
        </w:rPr>
        <w:t>миллион 285 тысяч 200 рублей,</w:t>
      </w:r>
      <w:r w:rsidR="009A58E3">
        <w:rPr>
          <w:rFonts w:ascii="Times New Roman" w:hAnsi="Times New Roman" w:cs="Times New Roman"/>
          <w:b/>
          <w:color w:val="000000"/>
          <w:sz w:val="28"/>
          <w:szCs w:val="28"/>
        </w:rPr>
        <w:t xml:space="preserve"> </w:t>
      </w:r>
      <w:r w:rsidR="009A58E3">
        <w:rPr>
          <w:rFonts w:ascii="Times New Roman" w:hAnsi="Times New Roman" w:cs="Times New Roman"/>
          <w:color w:val="000000"/>
          <w:sz w:val="28"/>
          <w:szCs w:val="28"/>
        </w:rPr>
        <w:t xml:space="preserve">в том числе финансовых средств местного бюджета </w:t>
      </w:r>
      <w:r w:rsidR="009A58E3">
        <w:rPr>
          <w:rFonts w:ascii="Times New Roman" w:hAnsi="Times New Roman" w:cs="Times New Roman"/>
          <w:b/>
          <w:color w:val="000000"/>
          <w:sz w:val="28"/>
          <w:szCs w:val="28"/>
        </w:rPr>
        <w:t>–</w:t>
      </w:r>
      <w:r w:rsidR="009A58E3" w:rsidRPr="00840AA2">
        <w:rPr>
          <w:rFonts w:ascii="Times New Roman" w:hAnsi="Times New Roman" w:cs="Times New Roman"/>
          <w:color w:val="000000"/>
          <w:sz w:val="28"/>
          <w:szCs w:val="28"/>
        </w:rPr>
        <w:t>202 тысячи200 рублей.</w:t>
      </w:r>
      <w:r w:rsidR="00390DF8">
        <w:rPr>
          <w:rFonts w:ascii="Times New Roman" w:eastAsia="Calibri" w:hAnsi="Times New Roman" w:cs="Times New Roman"/>
          <w:bCs/>
          <w:sz w:val="28"/>
          <w:szCs w:val="28"/>
        </w:rPr>
        <w:t xml:space="preserve"> </w:t>
      </w:r>
      <w:r w:rsidR="009A58E3" w:rsidRPr="00840AA2">
        <w:rPr>
          <w:rFonts w:ascii="Times New Roman" w:hAnsi="Times New Roman" w:cs="Times New Roman"/>
          <w:color w:val="000000"/>
          <w:sz w:val="28"/>
          <w:szCs w:val="28"/>
        </w:rPr>
        <w:t>13 тыс. 215 рублей</w:t>
      </w:r>
      <w:r w:rsidR="009A58E3">
        <w:rPr>
          <w:rFonts w:ascii="Times New Roman" w:hAnsi="Times New Roman" w:cs="Times New Roman"/>
          <w:b/>
          <w:color w:val="000000"/>
          <w:sz w:val="28"/>
          <w:szCs w:val="28"/>
        </w:rPr>
        <w:t xml:space="preserve"> - </w:t>
      </w:r>
      <w:r w:rsidR="009A58E3">
        <w:rPr>
          <w:rFonts w:ascii="Times New Roman" w:hAnsi="Times New Roman" w:cs="Times New Roman"/>
          <w:color w:val="000000"/>
          <w:sz w:val="28"/>
          <w:szCs w:val="28"/>
        </w:rPr>
        <w:t xml:space="preserve">выплачено на компенсацию части платежа по полученным ипотечным жилищным кредитам (займам) по </w:t>
      </w:r>
      <w:r w:rsidR="009A58E3" w:rsidRPr="00840AA2">
        <w:rPr>
          <w:rFonts w:ascii="Times New Roman" w:hAnsi="Times New Roman" w:cs="Times New Roman"/>
          <w:color w:val="000000"/>
          <w:sz w:val="28"/>
          <w:szCs w:val="28"/>
        </w:rPr>
        <w:t>Программе «Ипотечное жилищное кредитование населения Нижегородской области на 2009-2020 годы».</w:t>
      </w:r>
      <w:r w:rsidR="009A58E3">
        <w:rPr>
          <w:rFonts w:ascii="Times New Roman" w:hAnsi="Times New Roman" w:cs="Times New Roman"/>
          <w:b/>
          <w:color w:val="000000"/>
          <w:sz w:val="28"/>
          <w:szCs w:val="28"/>
        </w:rPr>
        <w:t xml:space="preserve"> </w:t>
      </w:r>
      <w:r w:rsidR="009A58E3">
        <w:rPr>
          <w:rFonts w:ascii="Times New Roman" w:hAnsi="Times New Roman" w:cs="Times New Roman"/>
          <w:bCs/>
          <w:color w:val="000000"/>
          <w:sz w:val="28"/>
          <w:szCs w:val="28"/>
        </w:rPr>
        <w:t xml:space="preserve">Реализация данной целевой программы в 2022 году закончилась. </w:t>
      </w:r>
      <w:r w:rsidR="009A58E3" w:rsidRPr="00840AA2">
        <w:rPr>
          <w:rFonts w:ascii="Times New Roman" w:hAnsi="Times New Roman" w:cs="Times New Roman"/>
          <w:color w:val="000000"/>
          <w:sz w:val="28"/>
          <w:szCs w:val="28"/>
        </w:rPr>
        <w:t>В рамках обеспечения жилыми помещениями детей-сирот в</w:t>
      </w:r>
      <w:r w:rsidR="009A58E3">
        <w:rPr>
          <w:rFonts w:ascii="Times New Roman" w:hAnsi="Times New Roman" w:cs="Times New Roman"/>
          <w:color w:val="000000"/>
          <w:sz w:val="28"/>
          <w:szCs w:val="28"/>
        </w:rPr>
        <w:t xml:space="preserve"> 2022 году приобретены </w:t>
      </w:r>
      <w:r w:rsidR="009A58E3" w:rsidRPr="00840AA2">
        <w:rPr>
          <w:rFonts w:ascii="Times New Roman" w:hAnsi="Times New Roman" w:cs="Times New Roman"/>
          <w:bCs/>
          <w:color w:val="000000"/>
          <w:sz w:val="28"/>
          <w:szCs w:val="28"/>
        </w:rPr>
        <w:t>6</w:t>
      </w:r>
      <w:r w:rsidR="009A58E3">
        <w:rPr>
          <w:rFonts w:ascii="Times New Roman" w:hAnsi="Times New Roman" w:cs="Times New Roman"/>
          <w:color w:val="000000"/>
          <w:sz w:val="28"/>
          <w:szCs w:val="28"/>
        </w:rPr>
        <w:t xml:space="preserve"> жилых помещений. 3 на первичном рынке жилья, 3 - на вторичном, одна из приобретенных квартир находится в р.п. Арья. Общая площадь приобретенных квартир составляет </w:t>
      </w:r>
      <w:r w:rsidR="009A58E3" w:rsidRPr="00840AA2">
        <w:rPr>
          <w:rFonts w:ascii="Times New Roman" w:hAnsi="Times New Roman" w:cs="Times New Roman"/>
          <w:color w:val="000000"/>
          <w:sz w:val="28"/>
          <w:szCs w:val="28"/>
        </w:rPr>
        <w:t>200,3 кв.м.</w:t>
      </w:r>
      <w:r w:rsidR="009A58E3">
        <w:rPr>
          <w:rFonts w:ascii="Times New Roman" w:hAnsi="Times New Roman" w:cs="Times New Roman"/>
          <w:color w:val="000000"/>
          <w:sz w:val="28"/>
          <w:szCs w:val="28"/>
        </w:rPr>
        <w:t xml:space="preserve"> Стоимость -                           </w:t>
      </w:r>
      <w:r w:rsidR="009A58E3" w:rsidRPr="00840AA2">
        <w:rPr>
          <w:rFonts w:ascii="Times New Roman" w:hAnsi="Times New Roman" w:cs="Times New Roman"/>
          <w:color w:val="000000"/>
          <w:sz w:val="28"/>
          <w:szCs w:val="28"/>
        </w:rPr>
        <w:t xml:space="preserve">7 миллионов 552 тыс. рублей. </w:t>
      </w:r>
      <w:r w:rsidR="00390DF8">
        <w:rPr>
          <w:rFonts w:ascii="Times New Roman" w:eastAsia="Calibri" w:hAnsi="Times New Roman" w:cs="Times New Roman"/>
          <w:bCs/>
          <w:sz w:val="28"/>
          <w:szCs w:val="28"/>
        </w:rPr>
        <w:t xml:space="preserve"> </w:t>
      </w:r>
      <w:r w:rsidR="009A58E3">
        <w:rPr>
          <w:rFonts w:ascii="Times New Roman" w:hAnsi="Times New Roman" w:cs="Times New Roman"/>
          <w:color w:val="000000"/>
          <w:sz w:val="28"/>
          <w:szCs w:val="28"/>
        </w:rPr>
        <w:t xml:space="preserve">В 2022 году на территории района завершены мероприятия по переселению граждан из аварийного жилищного фонда реализованные в рамках </w:t>
      </w:r>
      <w:r w:rsidR="009A58E3" w:rsidRPr="00840AA2">
        <w:rPr>
          <w:rFonts w:ascii="Times New Roman" w:hAnsi="Times New Roman" w:cs="Times New Roman"/>
          <w:bCs/>
          <w:color w:val="000000"/>
          <w:sz w:val="28"/>
          <w:szCs w:val="28"/>
        </w:rPr>
        <w:t xml:space="preserve">государственной региональной адресной программы «Переселение граждан из аварийного жилищного фонда на территории Нижегородской области на 2019-2023 годы». В рамках </w:t>
      </w:r>
      <w:r w:rsidR="009A58E3" w:rsidRPr="00840AA2">
        <w:rPr>
          <w:rFonts w:ascii="Times New Roman" w:hAnsi="Times New Roman" w:cs="Times New Roman"/>
          <w:bCs/>
          <w:color w:val="000000"/>
          <w:sz w:val="28"/>
          <w:szCs w:val="28"/>
          <w:lang w:val="en-US"/>
        </w:rPr>
        <w:t>III</w:t>
      </w:r>
      <w:r w:rsidR="009A58E3" w:rsidRPr="00840AA2">
        <w:rPr>
          <w:rFonts w:ascii="Times New Roman" w:hAnsi="Times New Roman" w:cs="Times New Roman"/>
          <w:bCs/>
          <w:color w:val="000000"/>
          <w:sz w:val="28"/>
          <w:szCs w:val="28"/>
        </w:rPr>
        <w:t xml:space="preserve"> и </w:t>
      </w:r>
      <w:r w:rsidR="009A58E3" w:rsidRPr="00840AA2">
        <w:rPr>
          <w:rFonts w:ascii="Times New Roman" w:hAnsi="Times New Roman" w:cs="Times New Roman"/>
          <w:bCs/>
          <w:color w:val="000000"/>
          <w:sz w:val="28"/>
          <w:szCs w:val="28"/>
          <w:lang w:val="en-US"/>
        </w:rPr>
        <w:t>IV</w:t>
      </w:r>
      <w:r w:rsidR="009A58E3" w:rsidRPr="00840AA2">
        <w:rPr>
          <w:rFonts w:ascii="Times New Roman" w:hAnsi="Times New Roman" w:cs="Times New Roman"/>
          <w:bCs/>
          <w:color w:val="000000"/>
          <w:sz w:val="28"/>
          <w:szCs w:val="28"/>
        </w:rPr>
        <w:t xml:space="preserve"> этапов Программы</w:t>
      </w:r>
      <w:r w:rsidR="009A58E3">
        <w:rPr>
          <w:rFonts w:ascii="Times New Roman" w:hAnsi="Times New Roman" w:cs="Times New Roman"/>
          <w:b/>
          <w:bCs/>
          <w:color w:val="000000"/>
          <w:sz w:val="28"/>
          <w:szCs w:val="28"/>
        </w:rPr>
        <w:t xml:space="preserve"> </w:t>
      </w:r>
      <w:r w:rsidR="009A58E3">
        <w:rPr>
          <w:rFonts w:ascii="Times New Roman" w:hAnsi="Times New Roman" w:cs="Times New Roman"/>
          <w:color w:val="000000"/>
          <w:sz w:val="28"/>
          <w:szCs w:val="28"/>
        </w:rPr>
        <w:t xml:space="preserve">администрацией в домах блокированной застройки на первичном рынке приобретены и в дальнейшем предоставлены гражданам, чье жилье было признано аварийным, в собственность 7 жилых помещений. Общая площадь приобретенных жилых помещений составляет </w:t>
      </w:r>
      <w:r w:rsidR="009A58E3" w:rsidRPr="00840AA2">
        <w:rPr>
          <w:rFonts w:ascii="Times New Roman" w:hAnsi="Times New Roman" w:cs="Times New Roman"/>
          <w:bCs/>
          <w:color w:val="000000"/>
          <w:sz w:val="28"/>
          <w:szCs w:val="28"/>
        </w:rPr>
        <w:t xml:space="preserve">271,8 </w:t>
      </w:r>
      <w:r w:rsidR="009A58E3" w:rsidRPr="00840AA2">
        <w:rPr>
          <w:rFonts w:ascii="Times New Roman" w:hAnsi="Times New Roman" w:cs="Times New Roman"/>
          <w:color w:val="000000"/>
          <w:sz w:val="28"/>
          <w:szCs w:val="28"/>
        </w:rPr>
        <w:t>кв.м.</w:t>
      </w:r>
      <w:r w:rsidR="009A58E3">
        <w:rPr>
          <w:rFonts w:ascii="Times New Roman" w:hAnsi="Times New Roman" w:cs="Times New Roman"/>
          <w:color w:val="000000"/>
          <w:sz w:val="28"/>
          <w:szCs w:val="28"/>
        </w:rPr>
        <w:t xml:space="preserve">  Доля софинансирования из местного бюджета составляет- </w:t>
      </w:r>
      <w:r w:rsidR="009A58E3" w:rsidRPr="00840AA2">
        <w:rPr>
          <w:rFonts w:ascii="Times New Roman" w:hAnsi="Times New Roman" w:cs="Times New Roman"/>
          <w:bCs/>
          <w:color w:val="000000"/>
          <w:sz w:val="28"/>
          <w:szCs w:val="28"/>
        </w:rPr>
        <w:t>118 тыс.</w:t>
      </w:r>
      <w:r w:rsidR="009A58E3" w:rsidRPr="00840AA2">
        <w:rPr>
          <w:rFonts w:ascii="Times New Roman" w:hAnsi="Times New Roman" w:cs="Times New Roman"/>
          <w:color w:val="000000"/>
          <w:sz w:val="28"/>
          <w:szCs w:val="28"/>
        </w:rPr>
        <w:t xml:space="preserve"> рублей.</w:t>
      </w:r>
      <w:r w:rsidR="009A58E3">
        <w:rPr>
          <w:rFonts w:ascii="Times New Roman" w:hAnsi="Times New Roman" w:cs="Times New Roman"/>
          <w:color w:val="000000"/>
          <w:sz w:val="28"/>
          <w:szCs w:val="28"/>
        </w:rPr>
        <w:t xml:space="preserve"> Общая стоимость приобретенных жилых помещений - </w:t>
      </w:r>
      <w:r w:rsidR="009A58E3" w:rsidRPr="00840AA2">
        <w:rPr>
          <w:rFonts w:ascii="Times New Roman" w:hAnsi="Times New Roman" w:cs="Times New Roman"/>
          <w:bCs/>
          <w:color w:val="000000"/>
          <w:sz w:val="28"/>
          <w:szCs w:val="28"/>
        </w:rPr>
        <w:t>14 м</w:t>
      </w:r>
      <w:r w:rsidR="009A58E3" w:rsidRPr="00840AA2">
        <w:rPr>
          <w:rFonts w:ascii="Times New Roman" w:hAnsi="Times New Roman" w:cs="Times New Roman"/>
          <w:color w:val="000000"/>
          <w:sz w:val="28"/>
          <w:szCs w:val="28"/>
        </w:rPr>
        <w:t>лн. 496тыс. рублей.</w:t>
      </w:r>
    </w:p>
    <w:p w:rsidR="009A58E3" w:rsidRDefault="009A58E3" w:rsidP="00840AA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В целях улучшения жилищных условий отдельных категорий граждан, в соответствии с Федеральным законом от 12 января 1995 г. № 5-ФЗ «О ветеранах» в прошлом году,  квартиру приобрел гражданин, относящийся к категории, ветераны боевых действий </w:t>
      </w:r>
      <w:r>
        <w:rPr>
          <w:rFonts w:ascii="Times New Roman" w:hAnsi="Times New Roman" w:cs="Times New Roman"/>
          <w:i/>
          <w:iCs/>
          <w:sz w:val="28"/>
          <w:szCs w:val="28"/>
        </w:rPr>
        <w:t>(участник ликвидации военного конфликта в Афганистане)</w:t>
      </w:r>
      <w:r>
        <w:rPr>
          <w:rFonts w:ascii="Times New Roman" w:hAnsi="Times New Roman" w:cs="Times New Roman"/>
          <w:sz w:val="28"/>
          <w:szCs w:val="28"/>
        </w:rPr>
        <w:t xml:space="preserve">. Стоимость квартиры составляет </w:t>
      </w:r>
      <w:r w:rsidRPr="00840AA2">
        <w:rPr>
          <w:rFonts w:ascii="Times New Roman" w:hAnsi="Times New Roman" w:cs="Times New Roman"/>
          <w:bCs/>
          <w:sz w:val="28"/>
          <w:szCs w:val="28"/>
        </w:rPr>
        <w:t>1 млн. 599 тыс. 336 рублей.</w:t>
      </w:r>
      <w:r>
        <w:rPr>
          <w:rFonts w:ascii="Times New Roman" w:hAnsi="Times New Roman" w:cs="Times New Roman"/>
          <w:color w:val="000000"/>
          <w:sz w:val="28"/>
          <w:szCs w:val="28"/>
        </w:rPr>
        <w:t xml:space="preserve"> Денежные средства выделялись из федерального и областного бюджетов.</w:t>
      </w:r>
    </w:p>
    <w:p w:rsidR="00440112" w:rsidRPr="009A58E3" w:rsidRDefault="00440112" w:rsidP="00840AA2">
      <w:pPr>
        <w:spacing w:after="0" w:line="360" w:lineRule="auto"/>
        <w:jc w:val="center"/>
        <w:rPr>
          <w:rStyle w:val="FontStyle14"/>
          <w:rFonts w:ascii="Times New Roman" w:hAnsi="Times New Roman" w:cs="Times New Roman"/>
          <w:sz w:val="28"/>
          <w:szCs w:val="28"/>
        </w:rPr>
      </w:pPr>
      <w:r w:rsidRPr="009A58E3">
        <w:rPr>
          <w:rStyle w:val="FontStyle14"/>
          <w:rFonts w:ascii="Times New Roman" w:hAnsi="Times New Roman" w:cs="Times New Roman"/>
          <w:sz w:val="28"/>
          <w:szCs w:val="28"/>
          <w:lang w:val="en-US"/>
        </w:rPr>
        <w:lastRenderedPageBreak/>
        <w:t>VII</w:t>
      </w:r>
      <w:r w:rsidR="009A58E3" w:rsidRPr="009A58E3">
        <w:rPr>
          <w:rStyle w:val="FontStyle14"/>
          <w:rFonts w:ascii="Times New Roman" w:hAnsi="Times New Roman" w:cs="Times New Roman"/>
          <w:sz w:val="28"/>
          <w:szCs w:val="28"/>
          <w:lang w:val="en-US"/>
        </w:rPr>
        <w:t>I</w:t>
      </w:r>
      <w:r w:rsidRPr="009A58E3">
        <w:rPr>
          <w:rStyle w:val="FontStyle14"/>
          <w:rFonts w:ascii="Times New Roman" w:hAnsi="Times New Roman" w:cs="Times New Roman"/>
          <w:sz w:val="28"/>
          <w:szCs w:val="28"/>
        </w:rPr>
        <w:t>.</w:t>
      </w:r>
      <w:r w:rsidR="009A58E3">
        <w:rPr>
          <w:rStyle w:val="FontStyle14"/>
          <w:rFonts w:ascii="Times New Roman" w:hAnsi="Times New Roman" w:cs="Times New Roman"/>
          <w:sz w:val="28"/>
          <w:szCs w:val="28"/>
        </w:rPr>
        <w:t xml:space="preserve"> </w:t>
      </w:r>
      <w:r w:rsidRPr="009A58E3">
        <w:rPr>
          <w:rStyle w:val="FontStyle14"/>
          <w:rFonts w:ascii="Times New Roman" w:hAnsi="Times New Roman" w:cs="Times New Roman"/>
          <w:sz w:val="28"/>
          <w:szCs w:val="28"/>
        </w:rPr>
        <w:t>Жилищно-коммунальное хозяйство</w:t>
      </w:r>
    </w:p>
    <w:p w:rsidR="009A58E3" w:rsidRDefault="009A58E3" w:rsidP="00840AA2">
      <w:pPr>
        <w:pStyle w:val="Style28"/>
        <w:widowControl/>
        <w:spacing w:line="360" w:lineRule="auto"/>
        <w:ind w:firstLine="709"/>
        <w:rPr>
          <w:rStyle w:val="FontStyle60"/>
          <w:color w:val="000000"/>
          <w:sz w:val="28"/>
          <w:szCs w:val="28"/>
        </w:rPr>
      </w:pPr>
      <w:r>
        <w:rPr>
          <w:rStyle w:val="FontStyle60"/>
          <w:color w:val="000000"/>
          <w:sz w:val="28"/>
          <w:szCs w:val="28"/>
        </w:rPr>
        <w:t xml:space="preserve">Услуги </w:t>
      </w:r>
      <w:r w:rsidRPr="00840AA2">
        <w:rPr>
          <w:rStyle w:val="FontStyle60"/>
          <w:color w:val="000000"/>
          <w:sz w:val="28"/>
          <w:szCs w:val="28"/>
        </w:rPr>
        <w:t>ЖКХ в 2022 году</w:t>
      </w:r>
      <w:r>
        <w:rPr>
          <w:rStyle w:val="FontStyle60"/>
          <w:b/>
          <w:color w:val="000000"/>
          <w:sz w:val="28"/>
          <w:szCs w:val="28"/>
        </w:rPr>
        <w:t xml:space="preserve"> </w:t>
      </w:r>
      <w:r>
        <w:rPr>
          <w:rStyle w:val="FontStyle60"/>
          <w:color w:val="000000"/>
          <w:sz w:val="28"/>
          <w:szCs w:val="28"/>
        </w:rPr>
        <w:t>оказывали два муниципальных предприятия: «ЖКХ» и «Коммунсервис». На протяжении 2022 года (как и ранее в 2021 году) оба предприятия работали стабильно.</w:t>
      </w:r>
    </w:p>
    <w:p w:rsidR="009A58E3" w:rsidRPr="00390DF8" w:rsidRDefault="009A58E3" w:rsidP="00390DF8">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В Шарангском МУП «Жилищно-коммунальное хозяйство» среднесписочная численность работающих составляет 57 чел.</w:t>
      </w:r>
      <w:r w:rsidR="00390DF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Средняя заработная плата за 2022год составила 27 480 тыс.</w:t>
      </w:r>
      <w:r w:rsidR="00390DF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руб. 19 коп. (в  прошлом году 22 тысячи)</w:t>
      </w:r>
      <w:r w:rsidR="00390DF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Объем реализации по основным видам деятельности за 2022 год увеличился на 5% и составил   </w:t>
      </w:r>
      <w:r w:rsidRPr="00390DF8">
        <w:rPr>
          <w:rFonts w:ascii="Times New Roman" w:hAnsi="Times New Roman" w:cs="Times New Roman"/>
          <w:color w:val="000000"/>
          <w:sz w:val="28"/>
          <w:szCs w:val="28"/>
        </w:rPr>
        <w:t>42 млн. 696 тыс</w:t>
      </w:r>
      <w:r>
        <w:rPr>
          <w:rFonts w:ascii="Times New Roman" w:hAnsi="Times New Roman" w:cs="Times New Roman"/>
          <w:color w:val="000000"/>
          <w:sz w:val="28"/>
          <w:szCs w:val="28"/>
        </w:rPr>
        <w:t>. рублей.</w:t>
      </w:r>
      <w:r w:rsidR="00390DF8">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 xml:space="preserve">В 2022 году  для поддержания  стабильной  работы  предприятия  было выделено 6,5 млн. рублей, в  том  числе  из местного   бюджета 3 млн.750 тыс. рублей. </w:t>
      </w:r>
      <w:r w:rsidR="00390DF8">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 xml:space="preserve">Несмотря на  то, что выручка  от  реализации выросла, расходы  предприятия увеличились и составили 54, 4 млн. руб. </w:t>
      </w:r>
    </w:p>
    <w:p w:rsidR="009A58E3" w:rsidRDefault="009A58E3" w:rsidP="00840AA2">
      <w:pPr>
        <w:pStyle w:val="a4"/>
        <w:spacing w:line="360" w:lineRule="auto"/>
        <w:jc w:val="both"/>
        <w:rPr>
          <w:sz w:val="28"/>
          <w:szCs w:val="28"/>
        </w:rPr>
      </w:pPr>
      <w:r>
        <w:rPr>
          <w:sz w:val="28"/>
          <w:szCs w:val="28"/>
        </w:rPr>
        <w:t xml:space="preserve">    </w:t>
      </w:r>
      <w:r w:rsidR="00390DF8">
        <w:rPr>
          <w:sz w:val="28"/>
          <w:szCs w:val="28"/>
        </w:rPr>
        <w:t xml:space="preserve">   </w:t>
      </w:r>
      <w:r>
        <w:rPr>
          <w:sz w:val="28"/>
          <w:szCs w:val="28"/>
        </w:rPr>
        <w:t>На обслуживании МУП «Коммунсервис» находится 24 водозаборные скважины и 83,5  км. центральных  водопроводных сетей, расположенных в 15 населенных пунктах Шарангского муниципального округа.</w:t>
      </w:r>
    </w:p>
    <w:p w:rsidR="009A58E3" w:rsidRDefault="009A58E3" w:rsidP="00840AA2">
      <w:pPr>
        <w:pStyle w:val="a4"/>
        <w:spacing w:line="360" w:lineRule="auto"/>
        <w:jc w:val="both"/>
        <w:rPr>
          <w:sz w:val="28"/>
          <w:szCs w:val="28"/>
        </w:rPr>
      </w:pPr>
      <w:r>
        <w:rPr>
          <w:sz w:val="28"/>
          <w:szCs w:val="28"/>
        </w:rPr>
        <w:t xml:space="preserve">        </w:t>
      </w:r>
      <w:r w:rsidR="00390DF8">
        <w:rPr>
          <w:sz w:val="28"/>
          <w:szCs w:val="28"/>
        </w:rPr>
        <w:t xml:space="preserve"> </w:t>
      </w:r>
      <w:r>
        <w:rPr>
          <w:sz w:val="28"/>
          <w:szCs w:val="28"/>
        </w:rPr>
        <w:t xml:space="preserve">В 2022 году оказано услуг холодного водоснабжения потребителям на сумму 9 млн. 700 тыс. руб., поднято холодной воды 187 тыс. куб. м., из них населению – на сумму 8,3 млн. руб. в количестве 160 тыс. куб. м., организациям и предприятиям - на сумму 1370 тыс. руб. в количестве 27 тыс. куб. м.;  выполнено прочих работ на сумму 1,4 млн. руб. </w:t>
      </w:r>
    </w:p>
    <w:p w:rsidR="009A58E3" w:rsidRDefault="009A58E3" w:rsidP="00840AA2">
      <w:pPr>
        <w:pStyle w:val="a4"/>
        <w:spacing w:line="360" w:lineRule="auto"/>
        <w:jc w:val="both"/>
        <w:rPr>
          <w:sz w:val="28"/>
          <w:szCs w:val="28"/>
        </w:rPr>
      </w:pPr>
      <w:r>
        <w:rPr>
          <w:sz w:val="28"/>
          <w:szCs w:val="28"/>
        </w:rPr>
        <w:t xml:space="preserve">       Выручка предприятия за 2022 год составила 11млн. 91 тыс. руб., по сравнению с прошлыми годом снижение на 10 %.</w:t>
      </w:r>
    </w:p>
    <w:p w:rsidR="009A58E3" w:rsidRDefault="009A58E3" w:rsidP="00840AA2">
      <w:pPr>
        <w:pStyle w:val="a4"/>
        <w:spacing w:line="360" w:lineRule="auto"/>
        <w:jc w:val="both"/>
        <w:rPr>
          <w:sz w:val="28"/>
          <w:szCs w:val="28"/>
        </w:rPr>
      </w:pPr>
      <w:r>
        <w:rPr>
          <w:sz w:val="28"/>
          <w:szCs w:val="28"/>
        </w:rPr>
        <w:t xml:space="preserve">       Убыток предприятия составил 498 тыс. руб.</w:t>
      </w:r>
    </w:p>
    <w:p w:rsidR="009A58E3" w:rsidRDefault="009A58E3" w:rsidP="00840AA2">
      <w:pPr>
        <w:pStyle w:val="a4"/>
        <w:spacing w:line="360" w:lineRule="auto"/>
        <w:jc w:val="both"/>
        <w:rPr>
          <w:sz w:val="28"/>
          <w:szCs w:val="28"/>
        </w:rPr>
      </w:pPr>
      <w:r>
        <w:rPr>
          <w:sz w:val="28"/>
          <w:szCs w:val="28"/>
        </w:rPr>
        <w:t xml:space="preserve">      На предприятии работают 9 человек, из них 3 чел. АУП, 6 чел рабочие водопроводного подразделения. Среднемесячная заработная  плата за 2022 год составила 30924 рубля.</w:t>
      </w:r>
    </w:p>
    <w:p w:rsidR="0070309E" w:rsidRDefault="0070309E" w:rsidP="00840AA2">
      <w:pPr>
        <w:spacing w:after="0" w:line="360" w:lineRule="auto"/>
        <w:jc w:val="center"/>
        <w:rPr>
          <w:rFonts w:ascii="Times New Roman" w:hAnsi="Times New Roman" w:cs="Times New Roman"/>
          <w:b/>
          <w:sz w:val="28"/>
          <w:szCs w:val="28"/>
        </w:rPr>
      </w:pPr>
    </w:p>
    <w:p w:rsidR="00440112" w:rsidRPr="00AA6E73" w:rsidRDefault="00AA6E73" w:rsidP="00840AA2">
      <w:pPr>
        <w:spacing w:after="0" w:line="360" w:lineRule="auto"/>
        <w:jc w:val="center"/>
        <w:rPr>
          <w:rStyle w:val="FontStyle17"/>
          <w:b/>
          <w:sz w:val="28"/>
          <w:szCs w:val="28"/>
        </w:rPr>
      </w:pPr>
      <w:r w:rsidRPr="00AA6E73">
        <w:rPr>
          <w:rFonts w:ascii="Times New Roman" w:hAnsi="Times New Roman" w:cs="Times New Roman"/>
          <w:b/>
          <w:sz w:val="28"/>
          <w:szCs w:val="28"/>
          <w:lang w:val="en-US"/>
        </w:rPr>
        <w:t>IX</w:t>
      </w:r>
      <w:r w:rsidR="00440112" w:rsidRPr="00AA6E73">
        <w:rPr>
          <w:rStyle w:val="FontStyle17"/>
          <w:b/>
          <w:sz w:val="28"/>
          <w:szCs w:val="28"/>
        </w:rPr>
        <w:t>.Организация муниципального управления</w:t>
      </w:r>
    </w:p>
    <w:p w:rsidR="007F2336" w:rsidRDefault="00A96135" w:rsidP="00390DF8">
      <w:pPr>
        <w:spacing w:line="360" w:lineRule="auto"/>
        <w:ind w:firstLine="540"/>
        <w:jc w:val="both"/>
        <w:rPr>
          <w:rFonts w:ascii="Times New Roman" w:hAnsi="Times New Roman" w:cs="Times New Roman"/>
          <w:color w:val="000000" w:themeColor="text1"/>
          <w:sz w:val="28"/>
          <w:szCs w:val="28"/>
        </w:rPr>
      </w:pPr>
      <w:r w:rsidRPr="00AA6E73">
        <w:rPr>
          <w:sz w:val="28"/>
          <w:szCs w:val="28"/>
        </w:rPr>
        <w:lastRenderedPageBreak/>
        <w:t xml:space="preserve">        </w:t>
      </w:r>
      <w:r w:rsidR="007F2336">
        <w:rPr>
          <w:rFonts w:ascii="Times New Roman" w:hAnsi="Times New Roman" w:cs="Times New Roman"/>
          <w:color w:val="000000" w:themeColor="text1"/>
          <w:sz w:val="28"/>
          <w:szCs w:val="28"/>
        </w:rPr>
        <w:t xml:space="preserve">Бюджет муниципального района является главным инструментом проведения социальной, финансовой и инвестиционной политики. Именно поэтому вопросы его формирования и исполнения остаются в числе наиболее важных. В целях качественного и полного осуществления расходных обязательств муниципального района бюджет составлен и утвержден в соответствии с требованием бюджетного законодательства и прошел все обязательные при рассмотрении процедуры, сформирован, рассмотрен на публичных слушаниях и утвержден решением </w:t>
      </w:r>
      <w:r w:rsidR="007F2336">
        <w:rPr>
          <w:rFonts w:ascii="Times New Roman" w:hAnsi="Times New Roman" w:cs="Times New Roman"/>
          <w:sz w:val="28"/>
          <w:szCs w:val="28"/>
        </w:rPr>
        <w:t>Совета депутатов  Шарангского муниципального округа.</w:t>
      </w:r>
      <w:r w:rsidR="00390DF8">
        <w:rPr>
          <w:rFonts w:ascii="Times New Roman" w:hAnsi="Times New Roman" w:cs="Times New Roman"/>
          <w:color w:val="000000" w:themeColor="text1"/>
          <w:sz w:val="28"/>
          <w:szCs w:val="28"/>
        </w:rPr>
        <w:t xml:space="preserve"> </w:t>
      </w:r>
      <w:r w:rsidR="007F2336">
        <w:rPr>
          <w:rFonts w:ascii="Times New Roman" w:hAnsi="Times New Roman" w:cs="Times New Roman"/>
          <w:color w:val="000000" w:themeColor="text1"/>
          <w:sz w:val="28"/>
          <w:szCs w:val="28"/>
        </w:rPr>
        <w:t xml:space="preserve">Проведена значительная работа по подготовке проектов решений о внесении изменений в районный бюджет на 2022 год и на плановый период 2023 и 2024 годов с целью оптимизации расходов, увеличения доходной и расходной части районного бюджета за счет межбюджетных трансфертов, поступивших из вышестоящих бюджетов, а также привлечения остатков, сложившихся на счете бюджета на 01 января 2022 года. </w:t>
      </w:r>
    </w:p>
    <w:p w:rsidR="007F2336" w:rsidRDefault="007F2336" w:rsidP="00840AA2">
      <w:pPr>
        <w:pStyle w:val="a4"/>
        <w:spacing w:after="200" w:line="360" w:lineRule="auto"/>
        <w:jc w:val="both"/>
        <w:rPr>
          <w:color w:val="000000" w:themeColor="text1"/>
          <w:sz w:val="28"/>
          <w:szCs w:val="28"/>
        </w:rPr>
      </w:pPr>
      <w:r>
        <w:rPr>
          <w:color w:val="000000" w:themeColor="text1"/>
          <w:sz w:val="28"/>
          <w:szCs w:val="28"/>
        </w:rPr>
        <w:t>В 2022 году в консолидированный бюджет района поступило доходов 848,1 млн. руб., что составило 100,5% к уточненным плановым назначениям.</w:t>
      </w:r>
      <w:r w:rsidR="00390DF8">
        <w:rPr>
          <w:color w:val="000000" w:themeColor="text1"/>
          <w:sz w:val="28"/>
          <w:szCs w:val="28"/>
        </w:rPr>
        <w:t xml:space="preserve"> </w:t>
      </w:r>
      <w:r>
        <w:rPr>
          <w:color w:val="000000" w:themeColor="text1"/>
          <w:sz w:val="28"/>
          <w:szCs w:val="28"/>
        </w:rPr>
        <w:t>Структура доходной части бюджета сложилась следующим образом:</w:t>
      </w:r>
    </w:p>
    <w:p w:rsidR="007F2336" w:rsidRDefault="007F2336" w:rsidP="00390DF8">
      <w:pPr>
        <w:pStyle w:val="a4"/>
        <w:numPr>
          <w:ilvl w:val="0"/>
          <w:numId w:val="38"/>
        </w:numPr>
        <w:suppressAutoHyphens/>
        <w:spacing w:after="200"/>
        <w:ind w:left="0" w:firstLine="510"/>
        <w:jc w:val="both"/>
        <w:rPr>
          <w:color w:val="000000" w:themeColor="text1"/>
          <w:sz w:val="28"/>
          <w:szCs w:val="28"/>
        </w:rPr>
      </w:pPr>
      <w:r>
        <w:rPr>
          <w:color w:val="000000" w:themeColor="text1"/>
          <w:sz w:val="28"/>
          <w:szCs w:val="28"/>
        </w:rPr>
        <w:t>безвозмездные поступления – 678,9 млн. руб. или  80% в общей сумме доходов;</w:t>
      </w:r>
    </w:p>
    <w:p w:rsidR="007F2336" w:rsidRDefault="007F2336" w:rsidP="00390DF8">
      <w:pPr>
        <w:pStyle w:val="a4"/>
        <w:numPr>
          <w:ilvl w:val="0"/>
          <w:numId w:val="38"/>
        </w:numPr>
        <w:suppressAutoHyphens/>
        <w:spacing w:after="200"/>
        <w:ind w:left="0" w:firstLine="510"/>
        <w:jc w:val="both"/>
        <w:rPr>
          <w:color w:val="000000" w:themeColor="text1"/>
          <w:sz w:val="28"/>
          <w:szCs w:val="28"/>
        </w:rPr>
      </w:pPr>
      <w:r>
        <w:rPr>
          <w:color w:val="000000" w:themeColor="text1"/>
          <w:sz w:val="28"/>
          <w:szCs w:val="28"/>
        </w:rPr>
        <w:t>налоговые и неналоговые доходы – 169,2 млн. руб. или 20% в общей сумме доходов.</w:t>
      </w:r>
    </w:p>
    <w:p w:rsidR="007F2336" w:rsidRDefault="007F2336" w:rsidP="00390DF8">
      <w:pPr>
        <w:pStyle w:val="a4"/>
        <w:spacing w:after="200"/>
        <w:ind w:firstLine="510"/>
        <w:jc w:val="both"/>
        <w:rPr>
          <w:sz w:val="28"/>
          <w:szCs w:val="28"/>
        </w:rPr>
      </w:pPr>
      <w:r>
        <w:rPr>
          <w:sz w:val="28"/>
          <w:szCs w:val="28"/>
        </w:rPr>
        <w:t>Уточненный годовой план по налоговым и неналоговым доходам выполнен на 108,8%.</w:t>
      </w:r>
    </w:p>
    <w:p w:rsidR="007F2336" w:rsidRDefault="007F2336" w:rsidP="00AA5705">
      <w:pPr>
        <w:pStyle w:val="a4"/>
        <w:spacing w:after="200" w:line="360" w:lineRule="auto"/>
        <w:ind w:firstLine="510"/>
        <w:jc w:val="both"/>
        <w:rPr>
          <w:color w:val="000000" w:themeColor="text1"/>
          <w:sz w:val="28"/>
          <w:szCs w:val="28"/>
        </w:rPr>
      </w:pPr>
      <w:r>
        <w:rPr>
          <w:color w:val="000000" w:themeColor="text1"/>
          <w:sz w:val="28"/>
          <w:szCs w:val="28"/>
        </w:rPr>
        <w:t>Прогноз министерства финансов по собственным доходам консолидированного бюджета Шарангского муниципального района выполнен на 118,9%, в абсолютном выражении увеличение поступления доходов к прогнозу составило 26,9 млн. руб.</w:t>
      </w:r>
      <w:r w:rsidR="00AA5705">
        <w:rPr>
          <w:color w:val="000000" w:themeColor="text1"/>
          <w:sz w:val="28"/>
          <w:szCs w:val="28"/>
        </w:rPr>
        <w:t xml:space="preserve"> </w:t>
      </w:r>
      <w:r>
        <w:rPr>
          <w:color w:val="000000" w:themeColor="text1"/>
          <w:sz w:val="28"/>
          <w:szCs w:val="28"/>
        </w:rPr>
        <w:t>Основными источниками поступления собственных доходов являются налоговые поступления:</w:t>
      </w:r>
    </w:p>
    <w:p w:rsidR="007F2336" w:rsidRDefault="007F2336" w:rsidP="00AA5705">
      <w:pPr>
        <w:pStyle w:val="a4"/>
        <w:spacing w:after="200" w:line="360" w:lineRule="auto"/>
        <w:ind w:firstLine="510"/>
        <w:jc w:val="both"/>
        <w:rPr>
          <w:color w:val="000000" w:themeColor="text1"/>
          <w:sz w:val="28"/>
          <w:szCs w:val="28"/>
        </w:rPr>
      </w:pPr>
      <w:r>
        <w:rPr>
          <w:color w:val="000000" w:themeColor="text1"/>
          <w:sz w:val="28"/>
          <w:szCs w:val="28"/>
        </w:rPr>
        <w:lastRenderedPageBreak/>
        <w:t>- налог на доходы физических лиц. За 2022 год его поступило              114,5 млн. руб., это 104,8% к уточненному плану;</w:t>
      </w:r>
    </w:p>
    <w:p w:rsidR="007F2336" w:rsidRDefault="007F2336" w:rsidP="00AA5705">
      <w:pPr>
        <w:pStyle w:val="a4"/>
        <w:spacing w:after="200" w:line="360" w:lineRule="auto"/>
        <w:ind w:firstLine="510"/>
        <w:jc w:val="both"/>
        <w:rPr>
          <w:color w:val="FF0000"/>
          <w:sz w:val="28"/>
          <w:szCs w:val="28"/>
        </w:rPr>
      </w:pPr>
      <w:r>
        <w:rPr>
          <w:color w:val="000000" w:themeColor="text1"/>
          <w:sz w:val="28"/>
          <w:szCs w:val="28"/>
        </w:rPr>
        <w:t xml:space="preserve">- налоги на совокупный доход получены в сумме 14,3 млн. руб., что составляет </w:t>
      </w:r>
      <w:r>
        <w:rPr>
          <w:sz w:val="28"/>
          <w:szCs w:val="28"/>
        </w:rPr>
        <w:t>109,2% к факту 2021 года;</w:t>
      </w:r>
    </w:p>
    <w:p w:rsidR="007F2336" w:rsidRDefault="007F2336" w:rsidP="00AA5705">
      <w:pPr>
        <w:pStyle w:val="a4"/>
        <w:spacing w:after="200" w:line="360" w:lineRule="auto"/>
        <w:ind w:firstLine="510"/>
        <w:jc w:val="both"/>
        <w:rPr>
          <w:color w:val="000000" w:themeColor="text1"/>
          <w:sz w:val="28"/>
          <w:szCs w:val="28"/>
        </w:rPr>
      </w:pPr>
      <w:r>
        <w:rPr>
          <w:color w:val="000000" w:themeColor="text1"/>
          <w:sz w:val="28"/>
          <w:szCs w:val="28"/>
        </w:rPr>
        <w:t>- акцизы на нефтепродукты поступили в объеме 13,1 млн. руб., годовой план выполнен на 121,6%;</w:t>
      </w:r>
    </w:p>
    <w:p w:rsidR="007F2336" w:rsidRDefault="007F2336" w:rsidP="00AA5705">
      <w:pPr>
        <w:pStyle w:val="a4"/>
        <w:spacing w:after="200" w:line="360" w:lineRule="auto"/>
        <w:ind w:firstLine="510"/>
        <w:jc w:val="both"/>
        <w:rPr>
          <w:color w:val="000000" w:themeColor="text1"/>
          <w:sz w:val="28"/>
          <w:szCs w:val="28"/>
        </w:rPr>
      </w:pPr>
      <w:r>
        <w:rPr>
          <w:color w:val="000000" w:themeColor="text1"/>
          <w:sz w:val="28"/>
          <w:szCs w:val="28"/>
        </w:rPr>
        <w:t>- налоги на имущество физических лиц поступили в объеме 9,3 млн. руб., годовой план выполнен на 103,5%;</w:t>
      </w:r>
    </w:p>
    <w:p w:rsidR="007F2336" w:rsidRDefault="007F2336" w:rsidP="00AA5705">
      <w:pPr>
        <w:pStyle w:val="a4"/>
        <w:spacing w:after="200"/>
        <w:ind w:firstLine="510"/>
        <w:jc w:val="both"/>
        <w:rPr>
          <w:color w:val="000000" w:themeColor="text1"/>
          <w:sz w:val="28"/>
          <w:szCs w:val="28"/>
        </w:rPr>
      </w:pPr>
      <w:r>
        <w:rPr>
          <w:color w:val="000000" w:themeColor="text1"/>
          <w:sz w:val="28"/>
          <w:szCs w:val="28"/>
        </w:rPr>
        <w:t>- государственной пошлины поступило в объеме 1,1 млн. руб.</w:t>
      </w:r>
    </w:p>
    <w:p w:rsidR="007F2336" w:rsidRDefault="007F2336" w:rsidP="00AA5705">
      <w:pPr>
        <w:pStyle w:val="a4"/>
        <w:spacing w:after="200" w:line="360" w:lineRule="auto"/>
        <w:ind w:firstLine="510"/>
        <w:jc w:val="both"/>
        <w:rPr>
          <w:color w:val="000000" w:themeColor="text1"/>
          <w:sz w:val="28"/>
          <w:szCs w:val="28"/>
        </w:rPr>
      </w:pPr>
      <w:r>
        <w:rPr>
          <w:color w:val="000000" w:themeColor="text1"/>
          <w:sz w:val="28"/>
          <w:szCs w:val="28"/>
        </w:rPr>
        <w:t>Неналоговые доходы занимают 10 % в собственных доходах бюджета, в отчетном году поступление составило16,9 млн. руб., формируются в основном за счет  доходов от оказания платных услуг и компенсации затрат – 5,2 млн. руб., штрафных санкций – 5,3 млн. руб. и доходов от использования муниципального имущества – 4,7 млн. руб. Уточненный годовой план по неналоговым доходам выполнен на 151,1%.</w:t>
      </w:r>
      <w:r w:rsidR="00AA5705">
        <w:rPr>
          <w:color w:val="000000" w:themeColor="text1"/>
          <w:sz w:val="28"/>
          <w:szCs w:val="28"/>
        </w:rPr>
        <w:t xml:space="preserve"> </w:t>
      </w:r>
      <w:r>
        <w:rPr>
          <w:color w:val="000000" w:themeColor="text1"/>
          <w:sz w:val="28"/>
          <w:szCs w:val="28"/>
        </w:rPr>
        <w:t>Для обеспечения роста доходов бюджета администрация продолжает взаимодействие с налогоплательщиками по вопросам сокращения задолженности по налоговым платежам, и легализации заработной платы. Безвозмездные поступления в бюджет Шарангского района в 2022 году составили 678,9 млн. руб., это 98,6% к плану.</w:t>
      </w:r>
      <w:r w:rsidR="00AA5705">
        <w:rPr>
          <w:color w:val="000000" w:themeColor="text1"/>
          <w:sz w:val="28"/>
          <w:szCs w:val="28"/>
        </w:rPr>
        <w:t xml:space="preserve"> </w:t>
      </w:r>
      <w:r>
        <w:rPr>
          <w:color w:val="000000" w:themeColor="text1"/>
          <w:sz w:val="28"/>
          <w:szCs w:val="28"/>
        </w:rPr>
        <w:t>Дотации получены в сумме 231,7 млн. руб., субсидии на софинансирование социально-значимых расходов – 123,6 млн. руб., субвенции на исполнение передаваемых полномочий – 307,7 млн. руб., иные межбюджетные трансферты и поступления от негосударственных организаций–19,6 млн. руб.</w:t>
      </w:r>
      <w:r w:rsidR="00AA5705">
        <w:rPr>
          <w:color w:val="000000" w:themeColor="text1"/>
          <w:sz w:val="28"/>
          <w:szCs w:val="28"/>
        </w:rPr>
        <w:t xml:space="preserve"> </w:t>
      </w:r>
      <w:r>
        <w:rPr>
          <w:color w:val="000000" w:themeColor="text1"/>
          <w:sz w:val="28"/>
          <w:szCs w:val="28"/>
        </w:rPr>
        <w:t>Расходы консолидированного бюджета в 2022 году исполнены в объеме 840,5 млн. руб., что составляет 96,2% к уточненному плану.</w:t>
      </w:r>
      <w:r w:rsidR="00AA5705">
        <w:rPr>
          <w:color w:val="000000" w:themeColor="text1"/>
          <w:sz w:val="28"/>
          <w:szCs w:val="28"/>
        </w:rPr>
        <w:t xml:space="preserve"> </w:t>
      </w:r>
      <w:r>
        <w:rPr>
          <w:color w:val="000000" w:themeColor="text1"/>
          <w:sz w:val="28"/>
          <w:szCs w:val="28"/>
        </w:rPr>
        <w:t>Бюджет исполнен с профицитом.</w:t>
      </w:r>
    </w:p>
    <w:p w:rsidR="007F2336" w:rsidRDefault="007F2336" w:rsidP="00840AA2">
      <w:pPr>
        <w:pStyle w:val="a4"/>
        <w:spacing w:after="200" w:line="360" w:lineRule="auto"/>
        <w:ind w:firstLine="510"/>
        <w:jc w:val="both"/>
        <w:rPr>
          <w:color w:val="000000" w:themeColor="text1"/>
          <w:sz w:val="28"/>
          <w:szCs w:val="28"/>
        </w:rPr>
      </w:pPr>
      <w:r>
        <w:rPr>
          <w:color w:val="000000" w:themeColor="text1"/>
          <w:sz w:val="28"/>
          <w:szCs w:val="28"/>
        </w:rPr>
        <w:t xml:space="preserve">В 2022 году в консолидированном бюджете Шарангского муниципального района расходы на реализацию мероприятий по </w:t>
      </w:r>
      <w:r>
        <w:rPr>
          <w:color w:val="000000" w:themeColor="text1"/>
          <w:sz w:val="28"/>
          <w:szCs w:val="28"/>
        </w:rPr>
        <w:lastRenderedPageBreak/>
        <w:t>муниципальным программам составили 767,6 млн. руб. (91,3 % в общем объеме расходов).</w:t>
      </w:r>
    </w:p>
    <w:p w:rsidR="007F2336" w:rsidRDefault="007F2336" w:rsidP="00AA5705">
      <w:pPr>
        <w:pStyle w:val="a4"/>
        <w:spacing w:after="200" w:line="360" w:lineRule="auto"/>
        <w:ind w:firstLine="510"/>
        <w:jc w:val="both"/>
        <w:rPr>
          <w:color w:val="000000" w:themeColor="text1"/>
          <w:sz w:val="28"/>
          <w:szCs w:val="28"/>
        </w:rPr>
      </w:pPr>
      <w:r>
        <w:rPr>
          <w:color w:val="000000" w:themeColor="text1"/>
          <w:sz w:val="28"/>
          <w:szCs w:val="28"/>
        </w:rPr>
        <w:t>Расходы по отраслям социальной сферы составили 523,3 млн. руб. или 62,3% всех произведенных расходов.</w:t>
      </w:r>
      <w:r w:rsidR="00AA5705">
        <w:rPr>
          <w:color w:val="000000" w:themeColor="text1"/>
          <w:sz w:val="28"/>
          <w:szCs w:val="28"/>
        </w:rPr>
        <w:t xml:space="preserve"> </w:t>
      </w:r>
      <w:r>
        <w:rPr>
          <w:color w:val="000000" w:themeColor="text1"/>
          <w:sz w:val="28"/>
          <w:szCs w:val="28"/>
        </w:rPr>
        <w:t>На поддержку реального сектора экономики из бюджета направлено  147,1 млн. рублей.</w:t>
      </w:r>
      <w:r w:rsidR="00AA5705">
        <w:rPr>
          <w:color w:val="000000" w:themeColor="text1"/>
          <w:sz w:val="28"/>
          <w:szCs w:val="28"/>
        </w:rPr>
        <w:t xml:space="preserve"> </w:t>
      </w:r>
      <w:r>
        <w:rPr>
          <w:color w:val="000000" w:themeColor="text1"/>
          <w:sz w:val="28"/>
          <w:szCs w:val="28"/>
        </w:rPr>
        <w:t>Сельское хозяйство профинансировано в сумме 72,6 млн. руб.</w:t>
      </w:r>
      <w:r w:rsidR="00AA5705">
        <w:rPr>
          <w:color w:val="000000" w:themeColor="text1"/>
          <w:sz w:val="28"/>
          <w:szCs w:val="28"/>
        </w:rPr>
        <w:t xml:space="preserve"> </w:t>
      </w:r>
      <w:r>
        <w:rPr>
          <w:color w:val="000000" w:themeColor="text1"/>
          <w:sz w:val="28"/>
          <w:szCs w:val="28"/>
        </w:rPr>
        <w:t>Расходы по благоустройству населенных пунктов района составили в объеме 32,2 млн. руб.    Общегосударственные вопросы» профинансированы в сумме   66,4 млн. руб.</w:t>
      </w:r>
      <w:r w:rsidR="00AA5705">
        <w:rPr>
          <w:color w:val="000000" w:themeColor="text1"/>
          <w:sz w:val="28"/>
          <w:szCs w:val="28"/>
        </w:rPr>
        <w:t xml:space="preserve"> </w:t>
      </w:r>
      <w:r>
        <w:rPr>
          <w:color w:val="000000" w:themeColor="text1"/>
          <w:sz w:val="28"/>
          <w:szCs w:val="28"/>
        </w:rPr>
        <w:t>Межбюджетные трансферты бюджетам поселений перечислены в объеме 144,3 млн. руб.</w:t>
      </w:r>
    </w:p>
    <w:p w:rsidR="007F2336" w:rsidRDefault="007F2336" w:rsidP="00AA5705">
      <w:pPr>
        <w:pStyle w:val="a4"/>
        <w:spacing w:after="200" w:line="360" w:lineRule="auto"/>
        <w:ind w:firstLine="510"/>
        <w:jc w:val="both"/>
        <w:rPr>
          <w:color w:val="000000" w:themeColor="text1"/>
          <w:sz w:val="28"/>
          <w:szCs w:val="28"/>
        </w:rPr>
      </w:pPr>
      <w:r>
        <w:rPr>
          <w:color w:val="000000" w:themeColor="text1"/>
          <w:sz w:val="28"/>
          <w:szCs w:val="28"/>
        </w:rPr>
        <w:t>Наибольший удельный вес в расходах консолидированного бюджета занимают  расходы на выплату заработной платы с начислениями – 50,9%, по сравнению с 2021годом они увеличились на 14,7% и составили     427,7 млн. руб.</w:t>
      </w:r>
      <w:r w:rsidR="00AA5705">
        <w:rPr>
          <w:color w:val="000000" w:themeColor="text1"/>
          <w:sz w:val="28"/>
          <w:szCs w:val="28"/>
        </w:rPr>
        <w:t xml:space="preserve"> </w:t>
      </w:r>
      <w:r>
        <w:rPr>
          <w:color w:val="000000" w:themeColor="text1"/>
          <w:sz w:val="28"/>
          <w:szCs w:val="28"/>
        </w:rPr>
        <w:t>Расходы капитального характера составили 14,3% в расходах бюджета, общий объем бюджетных инвестиций в 2022 году – 120,0 млн. руб.</w:t>
      </w:r>
    </w:p>
    <w:p w:rsidR="007F2336" w:rsidRDefault="007F2336" w:rsidP="00840AA2">
      <w:pPr>
        <w:pStyle w:val="a4"/>
        <w:spacing w:after="200" w:line="360" w:lineRule="auto"/>
        <w:ind w:firstLine="510"/>
        <w:jc w:val="both"/>
        <w:rPr>
          <w:color w:val="000000" w:themeColor="text1"/>
          <w:sz w:val="28"/>
          <w:szCs w:val="28"/>
        </w:rPr>
      </w:pPr>
      <w:r>
        <w:rPr>
          <w:color w:val="000000" w:themeColor="text1"/>
          <w:sz w:val="28"/>
          <w:szCs w:val="28"/>
        </w:rPr>
        <w:t>Финансирование расходов бюджета осуществлялось на основе сводной бюджетной росписи, производился учет бюджетных обязательств по оплате контрактов и договоров в пределах установленных лимитов, что позволило не допустить на конец отчетного года просроченной кредиторской задолженности у муниципальных учреждений и получателей бюджетных средств.</w:t>
      </w:r>
    </w:p>
    <w:p w:rsidR="007F2336" w:rsidRDefault="007F2336" w:rsidP="00840AA2">
      <w:pPr>
        <w:pStyle w:val="a4"/>
        <w:spacing w:after="200" w:line="360" w:lineRule="auto"/>
        <w:ind w:firstLine="510"/>
        <w:jc w:val="both"/>
        <w:rPr>
          <w:color w:val="000000" w:themeColor="text1"/>
          <w:sz w:val="28"/>
          <w:szCs w:val="28"/>
        </w:rPr>
      </w:pPr>
      <w:r>
        <w:rPr>
          <w:color w:val="000000" w:themeColor="text1"/>
          <w:sz w:val="28"/>
          <w:szCs w:val="28"/>
        </w:rPr>
        <w:t>Процесс исполнения бюджета организован в полном соответствии с требованиями Бюджетного кодекса Российской Федерации.</w:t>
      </w:r>
    </w:p>
    <w:p w:rsidR="00440112" w:rsidRPr="007F2336" w:rsidRDefault="00440112" w:rsidP="00840AA2">
      <w:pPr>
        <w:spacing w:after="0" w:line="360" w:lineRule="auto"/>
        <w:ind w:firstLine="567"/>
        <w:jc w:val="center"/>
        <w:rPr>
          <w:rFonts w:ascii="Times New Roman" w:hAnsi="Times New Roman" w:cs="Times New Roman"/>
          <w:b/>
          <w:sz w:val="28"/>
          <w:szCs w:val="28"/>
        </w:rPr>
      </w:pPr>
      <w:r w:rsidRPr="007F2336">
        <w:rPr>
          <w:rFonts w:ascii="Times New Roman" w:hAnsi="Times New Roman" w:cs="Times New Roman"/>
          <w:b/>
          <w:sz w:val="28"/>
          <w:szCs w:val="28"/>
          <w:lang w:val="en-US"/>
        </w:rPr>
        <w:t>X</w:t>
      </w:r>
      <w:r w:rsidRPr="007F2336">
        <w:rPr>
          <w:rFonts w:ascii="Times New Roman" w:hAnsi="Times New Roman" w:cs="Times New Roman"/>
          <w:b/>
          <w:sz w:val="28"/>
          <w:szCs w:val="28"/>
        </w:rPr>
        <w:t>.Энергосбережение и повышение энергетической эффективности</w:t>
      </w:r>
    </w:p>
    <w:p w:rsidR="00440112" w:rsidRPr="007F2336" w:rsidRDefault="00440112" w:rsidP="00840AA2">
      <w:pPr>
        <w:spacing w:after="0" w:line="360" w:lineRule="auto"/>
        <w:ind w:firstLine="567"/>
        <w:jc w:val="both"/>
        <w:rPr>
          <w:rFonts w:ascii="Times New Roman" w:hAnsi="Times New Roman" w:cs="Times New Roman"/>
          <w:sz w:val="28"/>
          <w:szCs w:val="28"/>
        </w:rPr>
      </w:pPr>
      <w:r w:rsidRPr="007F2336">
        <w:rPr>
          <w:rFonts w:ascii="Times New Roman" w:hAnsi="Times New Roman" w:cs="Times New Roman"/>
          <w:sz w:val="28"/>
          <w:szCs w:val="28"/>
        </w:rPr>
        <w:t>На территории района реализуется муниципальная целевая программа «Энергосбережение и повышение энергетической эффективности бюджетного сектора Шарангского муниципального района Нижего</w:t>
      </w:r>
      <w:r w:rsidR="00A6083E" w:rsidRPr="007F2336">
        <w:rPr>
          <w:rFonts w:ascii="Times New Roman" w:hAnsi="Times New Roman" w:cs="Times New Roman"/>
          <w:sz w:val="28"/>
          <w:szCs w:val="28"/>
        </w:rPr>
        <w:t>родской области</w:t>
      </w:r>
      <w:r w:rsidRPr="007F2336">
        <w:rPr>
          <w:rFonts w:ascii="Times New Roman" w:hAnsi="Times New Roman" w:cs="Times New Roman"/>
          <w:sz w:val="28"/>
          <w:szCs w:val="28"/>
        </w:rPr>
        <w:t xml:space="preserve">. Основной целью программы является повышение энергетической </w:t>
      </w:r>
      <w:r w:rsidRPr="007F2336">
        <w:rPr>
          <w:rFonts w:ascii="Times New Roman" w:hAnsi="Times New Roman" w:cs="Times New Roman"/>
          <w:sz w:val="28"/>
          <w:szCs w:val="28"/>
        </w:rPr>
        <w:lastRenderedPageBreak/>
        <w:t xml:space="preserve">эффективности органов исполнительной власти и бюджетных учреждений района, сокращение затрат районного бюджета на обеспечение органов исполнительной власти и учреждений бюджетной сферы всеми видами энергетических ресурсов. В рамках данной программы  для снижения объемов потребления энергоресурсов производились: замена ламп накаливания на энергосберегающие, повышение тепловой защиты зданий на объектах органов исполнительной власти и бюджетных учреждений района. Также   в рамках данной программы для создания системы мониторинга  энергоэффективности проводиится энергетическое обследование зданий, энергопотребляющего оборудования. Результатом реализации задач программы будет завершение проведения мероприятий по оснащению зданий, сооружений, строений, используемых для размещения органов исполнительной власти и бюджетных учреждений района, приборами </w:t>
      </w:r>
      <w:r w:rsidR="00AA5705">
        <w:rPr>
          <w:rFonts w:ascii="Times New Roman" w:hAnsi="Times New Roman" w:cs="Times New Roman"/>
          <w:sz w:val="28"/>
          <w:szCs w:val="28"/>
        </w:rPr>
        <w:t xml:space="preserve">учета энергетических ресурсов  в </w:t>
      </w:r>
      <w:r w:rsidRPr="007F2336">
        <w:rPr>
          <w:rFonts w:ascii="Times New Roman" w:hAnsi="Times New Roman" w:cs="Times New Roman"/>
          <w:sz w:val="28"/>
          <w:szCs w:val="28"/>
        </w:rPr>
        <w:t xml:space="preserve"> том числе  ввод установленных приборов учета в эксплуатацию.</w:t>
      </w:r>
    </w:p>
    <w:p w:rsidR="00440112" w:rsidRPr="00F559AD" w:rsidRDefault="00440112" w:rsidP="00840AA2">
      <w:pPr>
        <w:spacing w:after="0" w:line="360" w:lineRule="auto"/>
        <w:ind w:firstLine="567"/>
        <w:jc w:val="both"/>
        <w:rPr>
          <w:rFonts w:ascii="Times New Roman" w:hAnsi="Times New Roman" w:cs="Times New Roman"/>
          <w:color w:val="FF0000"/>
          <w:sz w:val="28"/>
          <w:szCs w:val="28"/>
          <w:highlight w:val="yellow"/>
        </w:rPr>
      </w:pPr>
    </w:p>
    <w:p w:rsidR="00440112" w:rsidRPr="00F559AD" w:rsidRDefault="00440112" w:rsidP="00840AA2">
      <w:pPr>
        <w:spacing w:after="0" w:line="360" w:lineRule="auto"/>
        <w:ind w:firstLine="567"/>
        <w:jc w:val="both"/>
        <w:rPr>
          <w:rFonts w:ascii="Times New Roman" w:hAnsi="Times New Roman" w:cs="Times New Roman"/>
          <w:color w:val="FF0000"/>
          <w:sz w:val="28"/>
          <w:szCs w:val="28"/>
          <w:highlight w:val="yellow"/>
        </w:rPr>
      </w:pPr>
    </w:p>
    <w:p w:rsidR="00440112" w:rsidRPr="00F23C84" w:rsidRDefault="00657995" w:rsidP="00840AA2">
      <w:pPr>
        <w:tabs>
          <w:tab w:val="left" w:pos="3855"/>
        </w:tabs>
        <w:spacing w:after="0" w:line="360" w:lineRule="auto"/>
        <w:jc w:val="both"/>
        <w:rPr>
          <w:rFonts w:ascii="Times New Roman" w:hAnsi="Times New Roman" w:cs="Times New Roman"/>
          <w:sz w:val="28"/>
          <w:szCs w:val="28"/>
        </w:rPr>
      </w:pPr>
      <w:r w:rsidRPr="00112DE5">
        <w:rPr>
          <w:rFonts w:ascii="Times New Roman" w:hAnsi="Times New Roman" w:cs="Times New Roman"/>
          <w:sz w:val="28"/>
          <w:szCs w:val="28"/>
        </w:rPr>
        <w:t>Глава местного самоуправления</w:t>
      </w:r>
      <w:r w:rsidR="00440112" w:rsidRPr="00F23C84">
        <w:rPr>
          <w:rFonts w:ascii="Times New Roman" w:hAnsi="Times New Roman" w:cs="Times New Roman"/>
          <w:sz w:val="28"/>
          <w:szCs w:val="28"/>
        </w:rPr>
        <w:t xml:space="preserve">   </w:t>
      </w:r>
      <w:r>
        <w:rPr>
          <w:rFonts w:ascii="Times New Roman" w:hAnsi="Times New Roman" w:cs="Times New Roman"/>
          <w:sz w:val="28"/>
          <w:szCs w:val="28"/>
        </w:rPr>
        <w:t xml:space="preserve">                  </w:t>
      </w:r>
      <w:r w:rsidR="00440112" w:rsidRPr="00F23C84">
        <w:rPr>
          <w:rFonts w:ascii="Times New Roman" w:hAnsi="Times New Roman" w:cs="Times New Roman"/>
          <w:sz w:val="28"/>
          <w:szCs w:val="28"/>
        </w:rPr>
        <w:t xml:space="preserve">      </w:t>
      </w:r>
      <w:r w:rsidR="00A6003B" w:rsidRPr="00F23C84">
        <w:rPr>
          <w:rFonts w:ascii="Times New Roman" w:hAnsi="Times New Roman" w:cs="Times New Roman"/>
          <w:sz w:val="28"/>
          <w:szCs w:val="28"/>
        </w:rPr>
        <w:t xml:space="preserve">                       Д.О.Ожиганов</w:t>
      </w:r>
    </w:p>
    <w:sectPr w:rsidR="00440112" w:rsidRPr="00F23C84" w:rsidSect="006B0F1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687" w:rsidRDefault="00251687" w:rsidP="0025311B">
      <w:pPr>
        <w:spacing w:after="0" w:line="240" w:lineRule="auto"/>
      </w:pPr>
      <w:r>
        <w:separator/>
      </w:r>
    </w:p>
  </w:endnote>
  <w:endnote w:type="continuationSeparator" w:id="0">
    <w:p w:rsidR="00251687" w:rsidRDefault="00251687" w:rsidP="00253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687" w:rsidRDefault="00251687" w:rsidP="0025311B">
      <w:pPr>
        <w:spacing w:after="0" w:line="240" w:lineRule="auto"/>
      </w:pPr>
      <w:r>
        <w:separator/>
      </w:r>
    </w:p>
  </w:footnote>
  <w:footnote w:type="continuationSeparator" w:id="0">
    <w:p w:rsidR="00251687" w:rsidRDefault="00251687" w:rsidP="002531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3F20824"/>
    <w:multiLevelType w:val="hybridMultilevel"/>
    <w:tmpl w:val="076AC056"/>
    <w:lvl w:ilvl="0" w:tplc="FB24249E">
      <w:start w:val="1"/>
      <w:numFmt w:val="decimal"/>
      <w:lvlText w:val="%1."/>
      <w:lvlJc w:val="left"/>
      <w:pPr>
        <w:tabs>
          <w:tab w:val="num" w:pos="720"/>
        </w:tabs>
        <w:ind w:left="720" w:hanging="360"/>
      </w:pPr>
      <w:rPr>
        <w:b w:val="0"/>
        <w:i w:val="0"/>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D242E2B6">
      <w:start w:val="1"/>
      <w:numFmt w:val="decimal"/>
      <w:lvlText w:val="%4."/>
      <w:lvlJc w:val="left"/>
      <w:pPr>
        <w:tabs>
          <w:tab w:val="num" w:pos="720"/>
        </w:tabs>
        <w:ind w:left="720" w:hanging="360"/>
      </w:pPr>
      <w:rPr>
        <w:b w:val="0"/>
        <w:i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rPr>
        <w:b w:val="0"/>
        <w:i w:val="0"/>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965D13"/>
    <w:multiLevelType w:val="multilevel"/>
    <w:tmpl w:val="B7FCDD0C"/>
    <w:lvl w:ilvl="0">
      <w:start w:val="1"/>
      <w:numFmt w:val="decimal"/>
      <w:lvlText w:val="%1."/>
      <w:lvlJc w:val="left"/>
      <w:pPr>
        <w:tabs>
          <w:tab w:val="num" w:pos="708"/>
        </w:tabs>
        <w:ind w:left="0" w:firstLine="0"/>
      </w:pPr>
      <w:rPr>
        <w:rFonts w:ascii="Times New Roman" w:hAnsi="Times New Roman" w:cs="Times New Roman"/>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A25C3D"/>
    <w:multiLevelType w:val="multilevel"/>
    <w:tmpl w:val="49CEFBB2"/>
    <w:lvl w:ilvl="0">
      <w:start w:val="1"/>
      <w:numFmt w:val="decimal"/>
      <w:lvlText w:val="%1."/>
      <w:lvlJc w:val="left"/>
      <w:pPr>
        <w:ind w:left="1440" w:hanging="360"/>
      </w:pPr>
      <w:rPr>
        <w:rFonts w:ascii="Times New Roman" w:eastAsiaTheme="minorHAnsi" w:hAnsi="Times New Roman" w:cs="Times New Roman"/>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EA1B34"/>
    <w:multiLevelType w:val="hybridMultilevel"/>
    <w:tmpl w:val="8CE84194"/>
    <w:lvl w:ilvl="0" w:tplc="96C811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6F083F"/>
    <w:multiLevelType w:val="multilevel"/>
    <w:tmpl w:val="FACAA696"/>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DA37BE"/>
    <w:multiLevelType w:val="multilevel"/>
    <w:tmpl w:val="6608C2DA"/>
    <w:lvl w:ilvl="0">
      <w:start w:val="1"/>
      <w:numFmt w:val="decimal"/>
      <w:lvlText w:val="%1."/>
      <w:lvlJc w:val="left"/>
      <w:pPr>
        <w:ind w:left="600" w:hanging="360"/>
      </w:pPr>
      <w:rPr>
        <w:b/>
        <w:sz w:val="28"/>
        <w:szCs w:val="28"/>
      </w:rPr>
    </w:lvl>
    <w:lvl w:ilvl="1">
      <w:start w:val="1"/>
      <w:numFmt w:val="decimal"/>
      <w:lvlText w:val="%1.%2."/>
      <w:lvlJc w:val="left"/>
      <w:pPr>
        <w:ind w:left="600" w:hanging="360"/>
      </w:pPr>
      <w:rPr>
        <w:b w:val="0"/>
      </w:rPr>
    </w:lvl>
    <w:lvl w:ilvl="2">
      <w:start w:val="1"/>
      <w:numFmt w:val="decimal"/>
      <w:lvlText w:val="%1.%2.%3."/>
      <w:lvlJc w:val="left"/>
      <w:pPr>
        <w:ind w:left="960" w:hanging="720"/>
      </w:pPr>
    </w:lvl>
    <w:lvl w:ilvl="3">
      <w:start w:val="1"/>
      <w:numFmt w:val="decimal"/>
      <w:lvlText w:val="%1.%2.%3.%4."/>
      <w:lvlJc w:val="left"/>
      <w:pPr>
        <w:ind w:left="960" w:hanging="720"/>
      </w:pPr>
    </w:lvl>
    <w:lvl w:ilvl="4">
      <w:start w:val="1"/>
      <w:numFmt w:val="decimal"/>
      <w:lvlText w:val="%1.%2.%3.%4.%5."/>
      <w:lvlJc w:val="left"/>
      <w:pPr>
        <w:ind w:left="1320" w:hanging="1080"/>
      </w:pPr>
    </w:lvl>
    <w:lvl w:ilvl="5">
      <w:start w:val="1"/>
      <w:numFmt w:val="decimal"/>
      <w:lvlText w:val="%1.%2.%3.%4.%5.%6."/>
      <w:lvlJc w:val="left"/>
      <w:pPr>
        <w:ind w:left="1320" w:hanging="1080"/>
      </w:pPr>
    </w:lvl>
    <w:lvl w:ilvl="6">
      <w:start w:val="1"/>
      <w:numFmt w:val="decimal"/>
      <w:lvlText w:val="%1.%2.%3.%4.%5.%6.%7."/>
      <w:lvlJc w:val="left"/>
      <w:pPr>
        <w:ind w:left="1680" w:hanging="1440"/>
      </w:pPr>
    </w:lvl>
    <w:lvl w:ilvl="7">
      <w:start w:val="1"/>
      <w:numFmt w:val="decimal"/>
      <w:lvlText w:val="%1.%2.%3.%4.%5.%6.%7.%8."/>
      <w:lvlJc w:val="left"/>
      <w:pPr>
        <w:ind w:left="1680" w:hanging="1440"/>
      </w:pPr>
    </w:lvl>
    <w:lvl w:ilvl="8">
      <w:start w:val="1"/>
      <w:numFmt w:val="decimal"/>
      <w:lvlText w:val="%1.%2.%3.%4.%5.%6.%7.%8.%9."/>
      <w:lvlJc w:val="left"/>
      <w:pPr>
        <w:ind w:left="2040" w:hanging="1800"/>
      </w:pPr>
    </w:lvl>
  </w:abstractNum>
  <w:abstractNum w:abstractNumId="6" w15:restartNumberingAfterBreak="0">
    <w:nsid w:val="185C3135"/>
    <w:multiLevelType w:val="hybridMultilevel"/>
    <w:tmpl w:val="329E2B3C"/>
    <w:lvl w:ilvl="0" w:tplc="CA40724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BAA7033"/>
    <w:multiLevelType w:val="multilevel"/>
    <w:tmpl w:val="6D7EDB5A"/>
    <w:lvl w:ilvl="0">
      <w:start w:val="1"/>
      <w:numFmt w:val="decimal"/>
      <w:lvlText w:val="%1."/>
      <w:lvlJc w:val="left"/>
      <w:pPr>
        <w:ind w:left="720" w:hanging="360"/>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BA4A54"/>
    <w:multiLevelType w:val="multilevel"/>
    <w:tmpl w:val="7FB23958"/>
    <w:lvl w:ilvl="0">
      <w:start w:val="1"/>
      <w:numFmt w:val="bullet"/>
      <w:lvlText w:val=""/>
      <w:lvlJc w:val="left"/>
      <w:pPr>
        <w:tabs>
          <w:tab w:val="num" w:pos="0"/>
        </w:tabs>
        <w:ind w:left="87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2200C6"/>
    <w:multiLevelType w:val="hybridMultilevel"/>
    <w:tmpl w:val="03CC0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6442AC"/>
    <w:multiLevelType w:val="multilevel"/>
    <w:tmpl w:val="EB7A39FA"/>
    <w:lvl w:ilvl="0">
      <w:start w:val="1"/>
      <w:numFmt w:val="bullet"/>
      <w:lvlText w:val=""/>
      <w:lvlJc w:val="left"/>
      <w:pPr>
        <w:tabs>
          <w:tab w:val="num" w:pos="0"/>
        </w:tabs>
        <w:ind w:left="870"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19C0635"/>
    <w:multiLevelType w:val="multilevel"/>
    <w:tmpl w:val="88082A62"/>
    <w:lvl w:ilvl="0">
      <w:start w:val="1"/>
      <w:numFmt w:val="decimal"/>
      <w:lvlText w:val="%1."/>
      <w:lvlJc w:val="left"/>
      <w:pPr>
        <w:tabs>
          <w:tab w:val="num" w:pos="708"/>
        </w:tabs>
        <w:ind w:left="0" w:firstLine="0"/>
      </w:pPr>
      <w:rPr>
        <w:rFonts w:ascii="Times New Roman" w:hAnsi="Times New Roman" w:cs="Times New Roman"/>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46626D"/>
    <w:multiLevelType w:val="multilevel"/>
    <w:tmpl w:val="7354CF74"/>
    <w:lvl w:ilvl="0">
      <w:start w:val="1"/>
      <w:numFmt w:val="decimal"/>
      <w:lvlText w:val="%1."/>
      <w:lvlJc w:val="left"/>
      <w:pPr>
        <w:ind w:left="720" w:hanging="360"/>
      </w:pPr>
      <w:rPr>
        <w:sz w:val="28"/>
        <w:szCs w:val="28"/>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3" w15:restartNumberingAfterBreak="0">
    <w:nsid w:val="31A25AED"/>
    <w:multiLevelType w:val="multilevel"/>
    <w:tmpl w:val="1E46B4E4"/>
    <w:lvl w:ilvl="0">
      <w:start w:val="1"/>
      <w:numFmt w:val="bullet"/>
      <w:lvlText w:val=""/>
      <w:lvlJc w:val="left"/>
      <w:pPr>
        <w:ind w:left="1637" w:hanging="360"/>
      </w:pPr>
      <w:rPr>
        <w:rFonts w:ascii="Symbol" w:hAnsi="Symbol" w:cs="Symbol" w:hint="default"/>
        <w:color w:val="333333"/>
        <w:sz w:val="28"/>
        <w:szCs w:val="28"/>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AE51A6"/>
    <w:multiLevelType w:val="multilevel"/>
    <w:tmpl w:val="4484DE24"/>
    <w:lvl w:ilvl="0">
      <w:start w:val="1"/>
      <w:numFmt w:val="decimal"/>
      <w:lvlText w:val="%1."/>
      <w:lvlJc w:val="left"/>
      <w:pPr>
        <w:tabs>
          <w:tab w:val="num" w:pos="0"/>
        </w:tabs>
        <w:ind w:left="720" w:hanging="360"/>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EA245D"/>
    <w:multiLevelType w:val="multilevel"/>
    <w:tmpl w:val="64B28458"/>
    <w:lvl w:ilvl="0">
      <w:start w:val="1"/>
      <w:numFmt w:val="decimal"/>
      <w:lvlText w:val="%1."/>
      <w:lvlJc w:val="left"/>
      <w:pPr>
        <w:ind w:left="927" w:hanging="360"/>
      </w:pPr>
      <w:rPr>
        <w:rFonts w:ascii="Times New Roman" w:hAnsi="Times New Roman" w:cs="Times New Roman"/>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906EC4"/>
    <w:multiLevelType w:val="multilevel"/>
    <w:tmpl w:val="3EF6B664"/>
    <w:lvl w:ilvl="0">
      <w:start w:val="1"/>
      <w:numFmt w:val="decimal"/>
      <w:lvlText w:val="%1."/>
      <w:lvlJc w:val="left"/>
      <w:pPr>
        <w:tabs>
          <w:tab w:val="num" w:pos="0"/>
        </w:tabs>
        <w:ind w:left="927" w:hanging="360"/>
      </w:pPr>
      <w:rPr>
        <w:rFonts w:ascii="Times New Roman" w:hAnsi="Times New Roman" w:cs="Times New Roman"/>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C866A4"/>
    <w:multiLevelType w:val="multilevel"/>
    <w:tmpl w:val="F88A7BBC"/>
    <w:lvl w:ilvl="0">
      <w:start w:val="1"/>
      <w:numFmt w:val="decimal"/>
      <w:lvlText w:val="%1."/>
      <w:lvlJc w:val="left"/>
      <w:pPr>
        <w:tabs>
          <w:tab w:val="num" w:pos="0"/>
        </w:tabs>
        <w:ind w:left="87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8100CCA"/>
    <w:multiLevelType w:val="multilevel"/>
    <w:tmpl w:val="894EEBAA"/>
    <w:lvl w:ilvl="0">
      <w:start w:val="1"/>
      <w:numFmt w:val="decimal"/>
      <w:lvlText w:val="%1."/>
      <w:lvlJc w:val="left"/>
      <w:pPr>
        <w:tabs>
          <w:tab w:val="num" w:pos="708"/>
        </w:tabs>
        <w:ind w:left="0" w:firstLine="0"/>
      </w:pPr>
      <w:rPr>
        <w:rFonts w:ascii="Times New Roman" w:hAnsi="Times New Roman" w:cs="Times New Roman"/>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B300E4"/>
    <w:multiLevelType w:val="multilevel"/>
    <w:tmpl w:val="9BB4D0AE"/>
    <w:lvl w:ilvl="0">
      <w:start w:val="1"/>
      <w:numFmt w:val="decimal"/>
      <w:lvlText w:val="%1."/>
      <w:lvlJc w:val="left"/>
      <w:pPr>
        <w:ind w:left="927" w:hanging="360"/>
      </w:pPr>
      <w:rPr>
        <w:rFonts w:cs="Times New Roman"/>
        <w:sz w:val="28"/>
        <w:szCs w:val="28"/>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20" w15:restartNumberingAfterBreak="0">
    <w:nsid w:val="403F63EF"/>
    <w:multiLevelType w:val="multilevel"/>
    <w:tmpl w:val="15B6324E"/>
    <w:lvl w:ilvl="0">
      <w:start w:val="1"/>
      <w:numFmt w:val="bullet"/>
      <w:lvlText w:val=""/>
      <w:lvlJc w:val="left"/>
      <w:pPr>
        <w:ind w:left="1428" w:hanging="360"/>
      </w:pPr>
      <w:rPr>
        <w:rFonts w:ascii="Symbol" w:hAnsi="Symbol" w:cs="Symbol" w:hint="default"/>
        <w:color w:val="333333"/>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D76193"/>
    <w:multiLevelType w:val="multilevel"/>
    <w:tmpl w:val="3E06C6C6"/>
    <w:lvl w:ilvl="0">
      <w:start w:val="1"/>
      <w:numFmt w:val="decimal"/>
      <w:lvlText w:val="%1)"/>
      <w:lvlJc w:val="left"/>
      <w:pPr>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58C54E1"/>
    <w:multiLevelType w:val="hybridMultilevel"/>
    <w:tmpl w:val="126648FA"/>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 w15:restartNumberingAfterBreak="0">
    <w:nsid w:val="4A7D57F3"/>
    <w:multiLevelType w:val="hybridMultilevel"/>
    <w:tmpl w:val="B71C59E8"/>
    <w:lvl w:ilvl="0" w:tplc="4308FD8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B152D88"/>
    <w:multiLevelType w:val="hybridMultilevel"/>
    <w:tmpl w:val="26C261EA"/>
    <w:lvl w:ilvl="0" w:tplc="60F884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B4F4A46"/>
    <w:multiLevelType w:val="multilevel"/>
    <w:tmpl w:val="CFF232C0"/>
    <w:lvl w:ilvl="0">
      <w:start w:val="1"/>
      <w:numFmt w:val="decimal"/>
      <w:lvlText w:val="%1."/>
      <w:lvlJc w:val="left"/>
      <w:pPr>
        <w:ind w:left="600" w:hanging="360"/>
      </w:pPr>
      <w:rPr>
        <w:b w:val="0"/>
      </w:rPr>
    </w:lvl>
    <w:lvl w:ilvl="1">
      <w:start w:val="1"/>
      <w:numFmt w:val="decimal"/>
      <w:isLgl/>
      <w:lvlText w:val="%1.%2."/>
      <w:lvlJc w:val="left"/>
      <w:pPr>
        <w:ind w:left="600" w:hanging="360"/>
      </w:pPr>
      <w:rPr>
        <w:b w:val="0"/>
      </w:rPr>
    </w:lvl>
    <w:lvl w:ilvl="2">
      <w:start w:val="1"/>
      <w:numFmt w:val="decimal"/>
      <w:isLgl/>
      <w:lvlText w:val="%1.%2.%3."/>
      <w:lvlJc w:val="left"/>
      <w:pPr>
        <w:ind w:left="960" w:hanging="720"/>
      </w:pPr>
    </w:lvl>
    <w:lvl w:ilvl="3">
      <w:start w:val="1"/>
      <w:numFmt w:val="decimal"/>
      <w:isLgl/>
      <w:lvlText w:val="%1.%2.%3.%4."/>
      <w:lvlJc w:val="left"/>
      <w:pPr>
        <w:ind w:left="960" w:hanging="720"/>
      </w:pPr>
    </w:lvl>
    <w:lvl w:ilvl="4">
      <w:start w:val="1"/>
      <w:numFmt w:val="decimal"/>
      <w:isLgl/>
      <w:lvlText w:val="%1.%2.%3.%4.%5."/>
      <w:lvlJc w:val="left"/>
      <w:pPr>
        <w:ind w:left="1320" w:hanging="1080"/>
      </w:pPr>
    </w:lvl>
    <w:lvl w:ilvl="5">
      <w:start w:val="1"/>
      <w:numFmt w:val="decimal"/>
      <w:isLgl/>
      <w:lvlText w:val="%1.%2.%3.%4.%5.%6."/>
      <w:lvlJc w:val="left"/>
      <w:pPr>
        <w:ind w:left="1320" w:hanging="1080"/>
      </w:pPr>
    </w:lvl>
    <w:lvl w:ilvl="6">
      <w:start w:val="1"/>
      <w:numFmt w:val="decimal"/>
      <w:isLgl/>
      <w:lvlText w:val="%1.%2.%3.%4.%5.%6.%7."/>
      <w:lvlJc w:val="left"/>
      <w:pPr>
        <w:ind w:left="1680" w:hanging="1440"/>
      </w:pPr>
    </w:lvl>
    <w:lvl w:ilvl="7">
      <w:start w:val="1"/>
      <w:numFmt w:val="decimal"/>
      <w:isLgl/>
      <w:lvlText w:val="%1.%2.%3.%4.%5.%6.%7.%8."/>
      <w:lvlJc w:val="left"/>
      <w:pPr>
        <w:ind w:left="1680" w:hanging="1440"/>
      </w:pPr>
    </w:lvl>
    <w:lvl w:ilvl="8">
      <w:start w:val="1"/>
      <w:numFmt w:val="decimal"/>
      <w:isLgl/>
      <w:lvlText w:val="%1.%2.%3.%4.%5.%6.%7.%8.%9."/>
      <w:lvlJc w:val="left"/>
      <w:pPr>
        <w:ind w:left="2040" w:hanging="1800"/>
      </w:pPr>
    </w:lvl>
  </w:abstractNum>
  <w:abstractNum w:abstractNumId="26" w15:restartNumberingAfterBreak="0">
    <w:nsid w:val="502021EC"/>
    <w:multiLevelType w:val="hybridMultilevel"/>
    <w:tmpl w:val="05E45A54"/>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9B7015"/>
    <w:multiLevelType w:val="multilevel"/>
    <w:tmpl w:val="44106B8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FA1391"/>
    <w:multiLevelType w:val="multilevel"/>
    <w:tmpl w:val="95380AA6"/>
    <w:lvl w:ilvl="0">
      <w:start w:val="1"/>
      <w:numFmt w:val="decimal"/>
      <w:lvlText w:val="%1."/>
      <w:lvlJc w:val="left"/>
      <w:pPr>
        <w:ind w:left="720" w:hanging="360"/>
      </w:pPr>
      <w:rPr>
        <w:rFonts w:ascii="Times New Roman" w:hAnsi="Times New Roman"/>
        <w:b/>
        <w:sz w:val="28"/>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29" w15:restartNumberingAfterBreak="0">
    <w:nsid w:val="58FE5355"/>
    <w:multiLevelType w:val="multilevel"/>
    <w:tmpl w:val="39503B3A"/>
    <w:lvl w:ilvl="0">
      <w:start w:val="1"/>
      <w:numFmt w:val="decimal"/>
      <w:lvlText w:val="%1."/>
      <w:lvlJc w:val="left"/>
      <w:pPr>
        <w:ind w:left="720" w:hanging="360"/>
      </w:pPr>
      <w:rPr>
        <w:rFonts w:ascii="Times New Roman" w:eastAsia="Times New Roman" w:hAnsi="Times New Roman" w:cs="Times New Roman"/>
        <w:b w:val="0"/>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6422BF"/>
    <w:multiLevelType w:val="multilevel"/>
    <w:tmpl w:val="441EA1F2"/>
    <w:lvl w:ilvl="0">
      <w:start w:val="1"/>
      <w:numFmt w:val="decimal"/>
      <w:lvlText w:val="%1."/>
      <w:lvlJc w:val="left"/>
      <w:pPr>
        <w:ind w:left="720" w:hanging="360"/>
      </w:pPr>
      <w:rPr>
        <w:rFonts w:ascii="Times New Roman" w:hAnsi="Times New Roman" w:cs="Times New Roman"/>
        <w:b/>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E30FD9"/>
    <w:multiLevelType w:val="hybridMultilevel"/>
    <w:tmpl w:val="FA007E8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7282870"/>
    <w:multiLevelType w:val="multilevel"/>
    <w:tmpl w:val="2FB49644"/>
    <w:lvl w:ilvl="0">
      <w:start w:val="1"/>
      <w:numFmt w:val="decimal"/>
      <w:lvlText w:val="%1."/>
      <w:lvlJc w:val="left"/>
      <w:pPr>
        <w:tabs>
          <w:tab w:val="num" w:pos="0"/>
        </w:tabs>
        <w:ind w:left="927" w:hanging="360"/>
      </w:pPr>
      <w:rPr>
        <w:rFonts w:ascii="Times New Roman" w:hAnsi="Times New Roman" w:cs="Times New Roman"/>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9E4D13"/>
    <w:multiLevelType w:val="multilevel"/>
    <w:tmpl w:val="4EEE72A2"/>
    <w:lvl w:ilvl="0">
      <w:start w:val="1"/>
      <w:numFmt w:val="decimal"/>
      <w:lvlText w:val="%1."/>
      <w:lvlJc w:val="left"/>
      <w:pPr>
        <w:tabs>
          <w:tab w:val="num" w:pos="0"/>
        </w:tabs>
        <w:ind w:left="87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4E572E"/>
    <w:multiLevelType w:val="multilevel"/>
    <w:tmpl w:val="A0E4E754"/>
    <w:lvl w:ilvl="0">
      <w:start w:val="1"/>
      <w:numFmt w:val="decimal"/>
      <w:lvlText w:val="%1."/>
      <w:lvlJc w:val="left"/>
      <w:pPr>
        <w:ind w:left="720" w:hanging="360"/>
      </w:p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35" w15:restartNumberingAfterBreak="0">
    <w:nsid w:val="6BFD13BD"/>
    <w:multiLevelType w:val="multilevel"/>
    <w:tmpl w:val="ABAA29B6"/>
    <w:lvl w:ilvl="0">
      <w:start w:val="1"/>
      <w:numFmt w:val="decimal"/>
      <w:lvlText w:val="%1."/>
      <w:lvlJc w:val="left"/>
      <w:pPr>
        <w:tabs>
          <w:tab w:val="num" w:pos="0"/>
        </w:tabs>
        <w:ind w:left="720" w:hanging="360"/>
      </w:pPr>
      <w:rPr>
        <w:rFonts w:ascii="Times New Roman" w:eastAsia="Times New Roman" w:hAnsi="Times New Roman" w:cs="Times New Roman"/>
        <w:b w:val="0"/>
        <w:color w:val="000000"/>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2327E6"/>
    <w:multiLevelType w:val="hybridMultilevel"/>
    <w:tmpl w:val="4088F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F23B6C"/>
    <w:multiLevelType w:val="singleLevel"/>
    <w:tmpl w:val="CE204C64"/>
    <w:lvl w:ilvl="0">
      <w:start w:val="1"/>
      <w:numFmt w:val="decimal"/>
      <w:lvlText w:val="%1."/>
      <w:legacy w:legacy="1" w:legacySpace="0" w:legacyIndent="374"/>
      <w:lvlJc w:val="left"/>
      <w:rPr>
        <w:rFonts w:ascii="Times New Roman" w:hAnsi="Times New Roman" w:cs="Times New Roman" w:hint="default"/>
      </w:rPr>
    </w:lvl>
  </w:abstractNum>
  <w:num w:numId="1">
    <w:abstractNumId w:val="37"/>
  </w:num>
  <w:num w:numId="2">
    <w:abstractNumId w:val="36"/>
  </w:num>
  <w:num w:numId="3">
    <w:abstractNumId w:val="22"/>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4"/>
  </w:num>
  <w:num w:numId="7">
    <w:abstractNumId w:val="18"/>
  </w:num>
  <w:num w:numId="8">
    <w:abstractNumId w:val="13"/>
  </w:num>
  <w:num w:numId="9">
    <w:abstractNumId w:val="20"/>
  </w:num>
  <w:num w:numId="10">
    <w:abstractNumId w:val="30"/>
  </w:num>
  <w:num w:numId="11">
    <w:abstractNumId w:val="21"/>
  </w:num>
  <w:num w:numId="12">
    <w:abstractNumId w:val="5"/>
  </w:num>
  <w:num w:numId="13">
    <w:abstractNumId w:val="2"/>
  </w:num>
  <w:num w:numId="14">
    <w:abstractNumId w:val="4"/>
  </w:num>
  <w:num w:numId="15">
    <w:abstractNumId w:val="0"/>
  </w:num>
  <w:num w:numId="16">
    <w:abstractNumId w:val="28"/>
  </w:num>
  <w:num w:numId="17">
    <w:abstractNumId w:val="12"/>
  </w:num>
  <w:num w:numId="18">
    <w:abstractNumId w:val="19"/>
  </w:num>
  <w:num w:numId="19">
    <w:abstractNumId w:val="34"/>
  </w:num>
  <w:num w:numId="20">
    <w:abstractNumId w:val="27"/>
  </w:num>
  <w:num w:numId="21">
    <w:abstractNumId w:val="1"/>
  </w:num>
  <w:num w:numId="22">
    <w:abstractNumId w:val="29"/>
  </w:num>
  <w:num w:numId="23">
    <w:abstractNumId w:val="7"/>
  </w:num>
  <w:num w:numId="24">
    <w:abstractNumId w:val="15"/>
  </w:num>
  <w:num w:numId="25">
    <w:abstractNumId w:val="11"/>
  </w:num>
  <w:num w:numId="26">
    <w:abstractNumId w:val="35"/>
  </w:num>
  <w:num w:numId="27">
    <w:abstractNumId w:val="14"/>
  </w:num>
  <w:num w:numId="28">
    <w:abstractNumId w:val="16"/>
  </w:num>
  <w:num w:numId="29">
    <w:abstractNumId w:val="32"/>
  </w:num>
  <w:num w:numId="30">
    <w:abstractNumId w:val="8"/>
  </w:num>
  <w:num w:numId="31">
    <w:abstractNumId w:val="33"/>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6"/>
  </w:num>
  <w:num w:numId="35">
    <w:abstractNumId w:val="10"/>
  </w:num>
  <w:num w:numId="36">
    <w:abstractNumId w:val="17"/>
    <w:lvlOverride w:ilvl="0">
      <w:startOverride w:val="1"/>
    </w:lvlOverride>
    <w:lvlOverride w:ilvl="1"/>
    <w:lvlOverride w:ilvl="2"/>
    <w:lvlOverride w:ilvl="3"/>
    <w:lvlOverride w:ilvl="4"/>
    <w:lvlOverride w:ilvl="5"/>
    <w:lvlOverride w:ilvl="6"/>
    <w:lvlOverride w:ilvl="7"/>
    <w:lvlOverride w:ilvl="8"/>
  </w:num>
  <w:num w:numId="3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1F38"/>
    <w:rsid w:val="00020116"/>
    <w:rsid w:val="000330A5"/>
    <w:rsid w:val="00037F7E"/>
    <w:rsid w:val="00046605"/>
    <w:rsid w:val="00051762"/>
    <w:rsid w:val="00066A1B"/>
    <w:rsid w:val="000714E8"/>
    <w:rsid w:val="000D7D2B"/>
    <w:rsid w:val="000E027E"/>
    <w:rsid w:val="00112DE5"/>
    <w:rsid w:val="001165A5"/>
    <w:rsid w:val="001202D5"/>
    <w:rsid w:val="0013692C"/>
    <w:rsid w:val="0015790F"/>
    <w:rsid w:val="00157FF8"/>
    <w:rsid w:val="00184BFE"/>
    <w:rsid w:val="001A7807"/>
    <w:rsid w:val="001B7FA7"/>
    <w:rsid w:val="001F574D"/>
    <w:rsid w:val="00207C89"/>
    <w:rsid w:val="00215329"/>
    <w:rsid w:val="00216E29"/>
    <w:rsid w:val="00232F85"/>
    <w:rsid w:val="002454C8"/>
    <w:rsid w:val="00251687"/>
    <w:rsid w:val="00252799"/>
    <w:rsid w:val="0025311B"/>
    <w:rsid w:val="0027374F"/>
    <w:rsid w:val="00287932"/>
    <w:rsid w:val="002C1109"/>
    <w:rsid w:val="002C6E09"/>
    <w:rsid w:val="002E49F4"/>
    <w:rsid w:val="002F3200"/>
    <w:rsid w:val="0030038B"/>
    <w:rsid w:val="00307B7E"/>
    <w:rsid w:val="00324E84"/>
    <w:rsid w:val="00330DB2"/>
    <w:rsid w:val="00337F21"/>
    <w:rsid w:val="00345837"/>
    <w:rsid w:val="0036328A"/>
    <w:rsid w:val="0037793A"/>
    <w:rsid w:val="00390DF8"/>
    <w:rsid w:val="00395C24"/>
    <w:rsid w:val="00396F97"/>
    <w:rsid w:val="0039759E"/>
    <w:rsid w:val="003A458B"/>
    <w:rsid w:val="003E4EF8"/>
    <w:rsid w:val="00410C79"/>
    <w:rsid w:val="0041104B"/>
    <w:rsid w:val="00427D82"/>
    <w:rsid w:val="004364C9"/>
    <w:rsid w:val="00440112"/>
    <w:rsid w:val="00452475"/>
    <w:rsid w:val="0045408F"/>
    <w:rsid w:val="00454CA3"/>
    <w:rsid w:val="00474A5E"/>
    <w:rsid w:val="00480E63"/>
    <w:rsid w:val="00481E74"/>
    <w:rsid w:val="004B0187"/>
    <w:rsid w:val="004E07DF"/>
    <w:rsid w:val="004F08CD"/>
    <w:rsid w:val="004F3E3C"/>
    <w:rsid w:val="00514B38"/>
    <w:rsid w:val="0051500E"/>
    <w:rsid w:val="00517336"/>
    <w:rsid w:val="00522193"/>
    <w:rsid w:val="005323D7"/>
    <w:rsid w:val="00540F3E"/>
    <w:rsid w:val="0054771D"/>
    <w:rsid w:val="00562694"/>
    <w:rsid w:val="00574B8C"/>
    <w:rsid w:val="005800E4"/>
    <w:rsid w:val="005816DF"/>
    <w:rsid w:val="005A65AA"/>
    <w:rsid w:val="005A6DDE"/>
    <w:rsid w:val="005B2C64"/>
    <w:rsid w:val="005C0305"/>
    <w:rsid w:val="005C363F"/>
    <w:rsid w:val="005F42C3"/>
    <w:rsid w:val="00657814"/>
    <w:rsid w:val="00657995"/>
    <w:rsid w:val="00662FD4"/>
    <w:rsid w:val="00664FBE"/>
    <w:rsid w:val="00667DFD"/>
    <w:rsid w:val="00671E82"/>
    <w:rsid w:val="00673FB1"/>
    <w:rsid w:val="00687A10"/>
    <w:rsid w:val="00690A45"/>
    <w:rsid w:val="00690ED4"/>
    <w:rsid w:val="00695176"/>
    <w:rsid w:val="006A1127"/>
    <w:rsid w:val="006A1A1E"/>
    <w:rsid w:val="006A3BF5"/>
    <w:rsid w:val="006B0F12"/>
    <w:rsid w:val="006C780A"/>
    <w:rsid w:val="006E207C"/>
    <w:rsid w:val="006E7FEE"/>
    <w:rsid w:val="006F123F"/>
    <w:rsid w:val="006F5193"/>
    <w:rsid w:val="0070309E"/>
    <w:rsid w:val="00705668"/>
    <w:rsid w:val="00723006"/>
    <w:rsid w:val="00743939"/>
    <w:rsid w:val="007506DA"/>
    <w:rsid w:val="00761A08"/>
    <w:rsid w:val="00773CE4"/>
    <w:rsid w:val="007A4BCF"/>
    <w:rsid w:val="007B618B"/>
    <w:rsid w:val="007C2D69"/>
    <w:rsid w:val="007D60A3"/>
    <w:rsid w:val="007E3435"/>
    <w:rsid w:val="007F2336"/>
    <w:rsid w:val="007F3F64"/>
    <w:rsid w:val="007F6F53"/>
    <w:rsid w:val="008034EA"/>
    <w:rsid w:val="008165FF"/>
    <w:rsid w:val="00827411"/>
    <w:rsid w:val="0083398D"/>
    <w:rsid w:val="00833FB6"/>
    <w:rsid w:val="00840AA2"/>
    <w:rsid w:val="00844286"/>
    <w:rsid w:val="008656AA"/>
    <w:rsid w:val="008865C4"/>
    <w:rsid w:val="008A0351"/>
    <w:rsid w:val="008D608F"/>
    <w:rsid w:val="00906D51"/>
    <w:rsid w:val="00911F8F"/>
    <w:rsid w:val="00912A81"/>
    <w:rsid w:val="0095788D"/>
    <w:rsid w:val="009663DD"/>
    <w:rsid w:val="00993E24"/>
    <w:rsid w:val="00996196"/>
    <w:rsid w:val="009A58E3"/>
    <w:rsid w:val="009B14AD"/>
    <w:rsid w:val="009B6AB2"/>
    <w:rsid w:val="00A12D41"/>
    <w:rsid w:val="00A1401A"/>
    <w:rsid w:val="00A209D4"/>
    <w:rsid w:val="00A20E05"/>
    <w:rsid w:val="00A354A5"/>
    <w:rsid w:val="00A4287E"/>
    <w:rsid w:val="00A43F36"/>
    <w:rsid w:val="00A4404D"/>
    <w:rsid w:val="00A6003B"/>
    <w:rsid w:val="00A6083E"/>
    <w:rsid w:val="00A71928"/>
    <w:rsid w:val="00A93DC0"/>
    <w:rsid w:val="00A96135"/>
    <w:rsid w:val="00AA5705"/>
    <w:rsid w:val="00AA6E73"/>
    <w:rsid w:val="00AF348E"/>
    <w:rsid w:val="00AF4610"/>
    <w:rsid w:val="00B02CE5"/>
    <w:rsid w:val="00B04839"/>
    <w:rsid w:val="00B13D7A"/>
    <w:rsid w:val="00BA29F7"/>
    <w:rsid w:val="00BA3A01"/>
    <w:rsid w:val="00BB45C2"/>
    <w:rsid w:val="00BC1DC0"/>
    <w:rsid w:val="00BC6FB3"/>
    <w:rsid w:val="00BD1ECF"/>
    <w:rsid w:val="00BD2B31"/>
    <w:rsid w:val="00BE092C"/>
    <w:rsid w:val="00C23228"/>
    <w:rsid w:val="00C36D40"/>
    <w:rsid w:val="00C4495F"/>
    <w:rsid w:val="00C4595E"/>
    <w:rsid w:val="00C4736B"/>
    <w:rsid w:val="00C508AA"/>
    <w:rsid w:val="00C609A4"/>
    <w:rsid w:val="00C67172"/>
    <w:rsid w:val="00C73D13"/>
    <w:rsid w:val="00C74AE8"/>
    <w:rsid w:val="00C8356C"/>
    <w:rsid w:val="00C8648C"/>
    <w:rsid w:val="00C866CB"/>
    <w:rsid w:val="00CA735A"/>
    <w:rsid w:val="00CB75BD"/>
    <w:rsid w:val="00D040AE"/>
    <w:rsid w:val="00D1152B"/>
    <w:rsid w:val="00D30731"/>
    <w:rsid w:val="00D32168"/>
    <w:rsid w:val="00D379E8"/>
    <w:rsid w:val="00D41F38"/>
    <w:rsid w:val="00D5571E"/>
    <w:rsid w:val="00D74EA9"/>
    <w:rsid w:val="00D81CF1"/>
    <w:rsid w:val="00DB5461"/>
    <w:rsid w:val="00DF06BD"/>
    <w:rsid w:val="00DF73DD"/>
    <w:rsid w:val="00E0779C"/>
    <w:rsid w:val="00E127B5"/>
    <w:rsid w:val="00E16590"/>
    <w:rsid w:val="00E2118D"/>
    <w:rsid w:val="00E30D7E"/>
    <w:rsid w:val="00E358BD"/>
    <w:rsid w:val="00E56833"/>
    <w:rsid w:val="00E639DE"/>
    <w:rsid w:val="00E71DE9"/>
    <w:rsid w:val="00E733DE"/>
    <w:rsid w:val="00E85C96"/>
    <w:rsid w:val="00E93CC6"/>
    <w:rsid w:val="00E972FF"/>
    <w:rsid w:val="00EA53E8"/>
    <w:rsid w:val="00EB4CC2"/>
    <w:rsid w:val="00EB6E21"/>
    <w:rsid w:val="00EC6DE6"/>
    <w:rsid w:val="00EE284B"/>
    <w:rsid w:val="00EF28F6"/>
    <w:rsid w:val="00F009B5"/>
    <w:rsid w:val="00F14954"/>
    <w:rsid w:val="00F225BD"/>
    <w:rsid w:val="00F23C84"/>
    <w:rsid w:val="00F249B8"/>
    <w:rsid w:val="00F266FD"/>
    <w:rsid w:val="00F307DB"/>
    <w:rsid w:val="00F33C29"/>
    <w:rsid w:val="00F559AD"/>
    <w:rsid w:val="00F922E4"/>
    <w:rsid w:val="00FA5861"/>
    <w:rsid w:val="00FC0B44"/>
    <w:rsid w:val="00FD3B71"/>
    <w:rsid w:val="00FD576C"/>
    <w:rsid w:val="00FF2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7523E"/>
  <w15:docId w15:val="{A83BE2F5-F10E-4086-ACE9-166C6574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E74"/>
  </w:style>
  <w:style w:type="paragraph" w:styleId="1">
    <w:name w:val="heading 1"/>
    <w:basedOn w:val="a"/>
    <w:next w:val="a"/>
    <w:link w:val="10"/>
    <w:qFormat/>
    <w:rsid w:val="00EC6DE6"/>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semiHidden/>
    <w:unhideWhenUsed/>
    <w:qFormat/>
    <w:rsid w:val="0084428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F38"/>
    <w:pPr>
      <w:ind w:left="720"/>
      <w:contextualSpacing/>
    </w:pPr>
    <w:rPr>
      <w:rFonts w:ascii="Calibri" w:eastAsia="Calibri" w:hAnsi="Calibri" w:cs="Times New Roman"/>
    </w:rPr>
  </w:style>
  <w:style w:type="paragraph" w:styleId="a4">
    <w:name w:val="No Spacing"/>
    <w:link w:val="a5"/>
    <w:uiPriority w:val="1"/>
    <w:qFormat/>
    <w:rsid w:val="00046605"/>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rsid w:val="00046605"/>
    <w:rPr>
      <w:rFonts w:ascii="Times New Roman" w:eastAsia="Times New Roman" w:hAnsi="Times New Roman" w:cs="Times New Roman"/>
      <w:sz w:val="24"/>
      <w:szCs w:val="24"/>
      <w:lang w:eastAsia="ru-RU"/>
    </w:rPr>
  </w:style>
  <w:style w:type="character" w:customStyle="1" w:styleId="FontStyle48">
    <w:name w:val="Font Style48"/>
    <w:basedOn w:val="a0"/>
    <w:qFormat/>
    <w:rsid w:val="00046605"/>
    <w:rPr>
      <w:rFonts w:ascii="Times New Roman" w:hAnsi="Times New Roman" w:cs="Times New Roman"/>
      <w:sz w:val="26"/>
      <w:szCs w:val="26"/>
    </w:rPr>
  </w:style>
  <w:style w:type="character" w:customStyle="1" w:styleId="FontStyle74">
    <w:name w:val="Font Style74"/>
    <w:basedOn w:val="a0"/>
    <w:uiPriority w:val="99"/>
    <w:rsid w:val="00046605"/>
    <w:rPr>
      <w:rFonts w:ascii="Constantia" w:hAnsi="Constantia" w:cs="Constantia"/>
      <w:b/>
      <w:bCs/>
      <w:sz w:val="24"/>
      <w:szCs w:val="24"/>
    </w:rPr>
  </w:style>
  <w:style w:type="paragraph" w:customStyle="1" w:styleId="Style31">
    <w:name w:val="Style31"/>
    <w:basedOn w:val="a"/>
    <w:qFormat/>
    <w:rsid w:val="0004660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60">
    <w:name w:val="Font Style60"/>
    <w:basedOn w:val="a0"/>
    <w:qFormat/>
    <w:rsid w:val="00046605"/>
    <w:rPr>
      <w:rFonts w:ascii="Times New Roman" w:hAnsi="Times New Roman" w:cs="Times New Roman"/>
      <w:sz w:val="26"/>
      <w:szCs w:val="26"/>
    </w:rPr>
  </w:style>
  <w:style w:type="character" w:customStyle="1" w:styleId="FontStyle84">
    <w:name w:val="Font Style84"/>
    <w:basedOn w:val="a0"/>
    <w:qFormat/>
    <w:rsid w:val="00046605"/>
    <w:rPr>
      <w:rFonts w:ascii="Times New Roman" w:hAnsi="Times New Roman" w:cs="Times New Roman"/>
      <w:b/>
      <w:bCs/>
      <w:sz w:val="26"/>
      <w:szCs w:val="26"/>
    </w:rPr>
  </w:style>
  <w:style w:type="character" w:customStyle="1" w:styleId="FontStyle64">
    <w:name w:val="Font Style64"/>
    <w:basedOn w:val="a0"/>
    <w:uiPriority w:val="99"/>
    <w:rsid w:val="00046605"/>
    <w:rPr>
      <w:rFonts w:ascii="Times New Roman" w:hAnsi="Times New Roman" w:cs="Times New Roman"/>
      <w:spacing w:val="20"/>
      <w:sz w:val="24"/>
      <w:szCs w:val="24"/>
    </w:rPr>
  </w:style>
  <w:style w:type="paragraph" w:customStyle="1" w:styleId="Style41">
    <w:name w:val="Style41"/>
    <w:basedOn w:val="a"/>
    <w:qFormat/>
    <w:rsid w:val="00046605"/>
    <w:pPr>
      <w:widowControl w:val="0"/>
      <w:autoSpaceDE w:val="0"/>
      <w:autoSpaceDN w:val="0"/>
      <w:adjustRightInd w:val="0"/>
      <w:spacing w:after="0" w:line="317" w:lineRule="exact"/>
      <w:ind w:firstLine="336"/>
    </w:pPr>
    <w:rPr>
      <w:rFonts w:ascii="Times New Roman" w:eastAsia="Times New Roman" w:hAnsi="Times New Roman" w:cs="Times New Roman"/>
      <w:sz w:val="24"/>
      <w:szCs w:val="24"/>
      <w:lang w:eastAsia="ru-RU"/>
    </w:rPr>
  </w:style>
  <w:style w:type="paragraph" w:customStyle="1" w:styleId="Style29">
    <w:name w:val="Style29"/>
    <w:basedOn w:val="a"/>
    <w:qFormat/>
    <w:rsid w:val="00046605"/>
    <w:pPr>
      <w:widowControl w:val="0"/>
      <w:autoSpaceDE w:val="0"/>
      <w:autoSpaceDN w:val="0"/>
      <w:adjustRightInd w:val="0"/>
      <w:spacing w:after="0" w:line="317" w:lineRule="exact"/>
      <w:ind w:firstLine="422"/>
      <w:jc w:val="both"/>
    </w:pPr>
    <w:rPr>
      <w:rFonts w:ascii="Times New Roman" w:eastAsia="Times New Roman" w:hAnsi="Times New Roman" w:cs="Times New Roman"/>
      <w:sz w:val="24"/>
      <w:szCs w:val="24"/>
      <w:lang w:eastAsia="ru-RU"/>
    </w:rPr>
  </w:style>
  <w:style w:type="paragraph" w:customStyle="1" w:styleId="Style30">
    <w:name w:val="Style30"/>
    <w:basedOn w:val="a"/>
    <w:qFormat/>
    <w:rsid w:val="000466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5">
    <w:name w:val="Font Style85"/>
    <w:basedOn w:val="a0"/>
    <w:qFormat/>
    <w:rsid w:val="00046605"/>
    <w:rPr>
      <w:rFonts w:ascii="Times New Roman" w:hAnsi="Times New Roman" w:cs="Times New Roman"/>
      <w:sz w:val="24"/>
      <w:szCs w:val="24"/>
    </w:rPr>
  </w:style>
  <w:style w:type="paragraph" w:styleId="a6">
    <w:name w:val="Balloon Text"/>
    <w:basedOn w:val="a"/>
    <w:link w:val="a7"/>
    <w:uiPriority w:val="99"/>
    <w:semiHidden/>
    <w:unhideWhenUsed/>
    <w:rsid w:val="000466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6605"/>
    <w:rPr>
      <w:rFonts w:ascii="Tahoma" w:hAnsi="Tahoma" w:cs="Tahoma"/>
      <w:sz w:val="16"/>
      <w:szCs w:val="16"/>
    </w:rPr>
  </w:style>
  <w:style w:type="paragraph" w:styleId="a8">
    <w:name w:val="Body Text"/>
    <w:basedOn w:val="a"/>
    <w:link w:val="a9"/>
    <w:rsid w:val="00046605"/>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046605"/>
    <w:rPr>
      <w:rFonts w:ascii="Times New Roman" w:eastAsia="Times New Roman" w:hAnsi="Times New Roman" w:cs="Times New Roman"/>
      <w:sz w:val="24"/>
      <w:szCs w:val="20"/>
      <w:lang w:eastAsia="ru-RU"/>
    </w:rPr>
  </w:style>
  <w:style w:type="character" w:customStyle="1" w:styleId="10">
    <w:name w:val="Заголовок 1 Знак"/>
    <w:basedOn w:val="a0"/>
    <w:link w:val="1"/>
    <w:rsid w:val="00EC6DE6"/>
    <w:rPr>
      <w:rFonts w:ascii="Arial" w:eastAsia="Times New Roman" w:hAnsi="Arial" w:cs="Times New Roman"/>
      <w:b/>
      <w:bCs/>
      <w:kern w:val="32"/>
      <w:sz w:val="32"/>
      <w:szCs w:val="32"/>
      <w:lang w:eastAsia="ru-RU"/>
    </w:rPr>
  </w:style>
  <w:style w:type="paragraph" w:styleId="aa">
    <w:name w:val="header"/>
    <w:basedOn w:val="a"/>
    <w:link w:val="ab"/>
    <w:uiPriority w:val="99"/>
    <w:semiHidden/>
    <w:unhideWhenUsed/>
    <w:rsid w:val="0025311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5311B"/>
  </w:style>
  <w:style w:type="paragraph" w:styleId="ac">
    <w:name w:val="footer"/>
    <w:basedOn w:val="a"/>
    <w:link w:val="ad"/>
    <w:uiPriority w:val="99"/>
    <w:semiHidden/>
    <w:unhideWhenUsed/>
    <w:rsid w:val="0025311B"/>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5311B"/>
  </w:style>
  <w:style w:type="character" w:customStyle="1" w:styleId="FontStyle39">
    <w:name w:val="Font Style39"/>
    <w:uiPriority w:val="99"/>
    <w:rsid w:val="008656AA"/>
    <w:rPr>
      <w:rFonts w:ascii="Times New Roman" w:hAnsi="Times New Roman" w:cs="Times New Roman"/>
      <w:sz w:val="26"/>
      <w:szCs w:val="26"/>
    </w:rPr>
  </w:style>
  <w:style w:type="paragraph" w:styleId="ae">
    <w:name w:val="Normal (Web)"/>
    <w:basedOn w:val="a"/>
    <w:uiPriority w:val="99"/>
    <w:unhideWhenUsed/>
    <w:qFormat/>
    <w:rsid w:val="00865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Базовый"/>
    <w:rsid w:val="008656AA"/>
    <w:pPr>
      <w:tabs>
        <w:tab w:val="left" w:pos="708"/>
      </w:tabs>
      <w:suppressAutoHyphens/>
    </w:pPr>
    <w:rPr>
      <w:rFonts w:ascii="Times New Roman" w:eastAsia="Times New Roman" w:hAnsi="Times New Roman" w:cs="Times New Roman"/>
      <w:color w:val="00000A"/>
      <w:sz w:val="24"/>
      <w:szCs w:val="24"/>
      <w:lang w:eastAsia="ru-RU"/>
    </w:rPr>
  </w:style>
  <w:style w:type="paragraph" w:customStyle="1" w:styleId="Style13">
    <w:name w:val="Style13"/>
    <w:basedOn w:val="a"/>
    <w:qFormat/>
    <w:rsid w:val="007B618B"/>
    <w:pPr>
      <w:widowControl w:val="0"/>
      <w:autoSpaceDE w:val="0"/>
      <w:autoSpaceDN w:val="0"/>
      <w:adjustRightInd w:val="0"/>
      <w:spacing w:after="0" w:line="276" w:lineRule="exact"/>
      <w:ind w:firstLine="662"/>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7B61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2">
    <w:name w:val="Font Style52"/>
    <w:basedOn w:val="a0"/>
    <w:qFormat/>
    <w:rsid w:val="007B618B"/>
    <w:rPr>
      <w:rFonts w:ascii="Times New Roman" w:hAnsi="Times New Roman" w:cs="Times New Roman"/>
      <w:sz w:val="22"/>
      <w:szCs w:val="22"/>
    </w:rPr>
  </w:style>
  <w:style w:type="character" w:customStyle="1" w:styleId="FontStyle81">
    <w:name w:val="Font Style81"/>
    <w:basedOn w:val="a0"/>
    <w:qFormat/>
    <w:rsid w:val="007B618B"/>
    <w:rPr>
      <w:rFonts w:ascii="Times New Roman" w:hAnsi="Times New Roman" w:cs="Times New Roman"/>
      <w:b/>
      <w:bCs/>
      <w:sz w:val="22"/>
      <w:szCs w:val="22"/>
    </w:rPr>
  </w:style>
  <w:style w:type="paragraph" w:customStyle="1" w:styleId="Style24">
    <w:name w:val="Style24"/>
    <w:basedOn w:val="a"/>
    <w:qFormat/>
    <w:rsid w:val="007B618B"/>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14">
    <w:name w:val="Font Style14"/>
    <w:basedOn w:val="a0"/>
    <w:uiPriority w:val="99"/>
    <w:rsid w:val="00440112"/>
    <w:rPr>
      <w:rFonts w:ascii="Georgia" w:hAnsi="Georgia" w:cs="Georgia"/>
      <w:b/>
      <w:bCs/>
      <w:sz w:val="22"/>
      <w:szCs w:val="22"/>
    </w:rPr>
  </w:style>
  <w:style w:type="paragraph" w:customStyle="1" w:styleId="Style1">
    <w:name w:val="Style1"/>
    <w:basedOn w:val="a"/>
    <w:uiPriority w:val="99"/>
    <w:rsid w:val="00440112"/>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character" w:customStyle="1" w:styleId="FontStyle17">
    <w:name w:val="Font Style17"/>
    <w:basedOn w:val="a0"/>
    <w:rsid w:val="00440112"/>
    <w:rPr>
      <w:rFonts w:ascii="Times New Roman" w:hAnsi="Times New Roman" w:cs="Times New Roman"/>
      <w:sz w:val="26"/>
      <w:szCs w:val="26"/>
    </w:rPr>
  </w:style>
  <w:style w:type="paragraph" w:customStyle="1" w:styleId="Style28">
    <w:name w:val="Style28"/>
    <w:basedOn w:val="a"/>
    <w:qFormat/>
    <w:rsid w:val="00440112"/>
    <w:pPr>
      <w:widowControl w:val="0"/>
      <w:autoSpaceDE w:val="0"/>
      <w:autoSpaceDN w:val="0"/>
      <w:adjustRightInd w:val="0"/>
      <w:spacing w:after="0" w:line="317" w:lineRule="exact"/>
      <w:ind w:firstLine="845"/>
      <w:jc w:val="both"/>
    </w:pPr>
    <w:rPr>
      <w:rFonts w:ascii="Times New Roman" w:eastAsia="Times New Roman" w:hAnsi="Times New Roman" w:cs="Times New Roman"/>
      <w:sz w:val="24"/>
      <w:szCs w:val="24"/>
      <w:lang w:eastAsia="ru-RU"/>
    </w:rPr>
  </w:style>
  <w:style w:type="paragraph" w:customStyle="1" w:styleId="ConsPlusNormal">
    <w:name w:val="ConsPlusNormal"/>
    <w:qFormat/>
    <w:rsid w:val="006F5193"/>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WW8Num11z4">
    <w:name w:val="WW8Num11z4"/>
    <w:qFormat/>
    <w:rsid w:val="00D32168"/>
  </w:style>
  <w:style w:type="paragraph" w:customStyle="1" w:styleId="WW-">
    <w:name w:val="WW-Базовый"/>
    <w:qFormat/>
    <w:rsid w:val="007506DA"/>
    <w:pPr>
      <w:tabs>
        <w:tab w:val="left" w:pos="708"/>
      </w:tabs>
      <w:suppressAutoHyphens/>
    </w:pPr>
    <w:rPr>
      <w:rFonts w:ascii="Times New Roman" w:eastAsia="Times New Roman" w:hAnsi="Times New Roman" w:cs="Times New Roman"/>
      <w:color w:val="00000A"/>
      <w:sz w:val="24"/>
      <w:szCs w:val="24"/>
      <w:lang w:eastAsia="zh-CN"/>
    </w:rPr>
  </w:style>
  <w:style w:type="character" w:styleId="af0">
    <w:name w:val="Emphasis"/>
    <w:basedOn w:val="a0"/>
    <w:qFormat/>
    <w:rsid w:val="00833FB6"/>
    <w:rPr>
      <w:i/>
      <w:iCs/>
    </w:rPr>
  </w:style>
  <w:style w:type="character" w:customStyle="1" w:styleId="WW8Num1z4">
    <w:name w:val="WW8Num1z4"/>
    <w:qFormat/>
    <w:rsid w:val="008165FF"/>
  </w:style>
  <w:style w:type="character" w:customStyle="1" w:styleId="WW8Num1z0">
    <w:name w:val="WW8Num1z0"/>
    <w:qFormat/>
    <w:rsid w:val="00C73D13"/>
  </w:style>
  <w:style w:type="character" w:customStyle="1" w:styleId="20">
    <w:name w:val="Заголовок 2 Знак"/>
    <w:basedOn w:val="a0"/>
    <w:link w:val="2"/>
    <w:uiPriority w:val="9"/>
    <w:semiHidden/>
    <w:rsid w:val="0084428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550">
      <w:bodyDiv w:val="1"/>
      <w:marLeft w:val="0"/>
      <w:marRight w:val="0"/>
      <w:marTop w:val="0"/>
      <w:marBottom w:val="0"/>
      <w:divBdr>
        <w:top w:val="none" w:sz="0" w:space="0" w:color="auto"/>
        <w:left w:val="none" w:sz="0" w:space="0" w:color="auto"/>
        <w:bottom w:val="none" w:sz="0" w:space="0" w:color="auto"/>
        <w:right w:val="none" w:sz="0" w:space="0" w:color="auto"/>
      </w:divBdr>
    </w:div>
    <w:div w:id="206338751">
      <w:bodyDiv w:val="1"/>
      <w:marLeft w:val="0"/>
      <w:marRight w:val="0"/>
      <w:marTop w:val="0"/>
      <w:marBottom w:val="0"/>
      <w:divBdr>
        <w:top w:val="none" w:sz="0" w:space="0" w:color="auto"/>
        <w:left w:val="none" w:sz="0" w:space="0" w:color="auto"/>
        <w:bottom w:val="none" w:sz="0" w:space="0" w:color="auto"/>
        <w:right w:val="none" w:sz="0" w:space="0" w:color="auto"/>
      </w:divBdr>
    </w:div>
    <w:div w:id="265699961">
      <w:bodyDiv w:val="1"/>
      <w:marLeft w:val="0"/>
      <w:marRight w:val="0"/>
      <w:marTop w:val="0"/>
      <w:marBottom w:val="0"/>
      <w:divBdr>
        <w:top w:val="none" w:sz="0" w:space="0" w:color="auto"/>
        <w:left w:val="none" w:sz="0" w:space="0" w:color="auto"/>
        <w:bottom w:val="none" w:sz="0" w:space="0" w:color="auto"/>
        <w:right w:val="none" w:sz="0" w:space="0" w:color="auto"/>
      </w:divBdr>
    </w:div>
    <w:div w:id="267547602">
      <w:bodyDiv w:val="1"/>
      <w:marLeft w:val="0"/>
      <w:marRight w:val="0"/>
      <w:marTop w:val="0"/>
      <w:marBottom w:val="0"/>
      <w:divBdr>
        <w:top w:val="none" w:sz="0" w:space="0" w:color="auto"/>
        <w:left w:val="none" w:sz="0" w:space="0" w:color="auto"/>
        <w:bottom w:val="none" w:sz="0" w:space="0" w:color="auto"/>
        <w:right w:val="none" w:sz="0" w:space="0" w:color="auto"/>
      </w:divBdr>
    </w:div>
    <w:div w:id="453642639">
      <w:bodyDiv w:val="1"/>
      <w:marLeft w:val="0"/>
      <w:marRight w:val="0"/>
      <w:marTop w:val="0"/>
      <w:marBottom w:val="0"/>
      <w:divBdr>
        <w:top w:val="none" w:sz="0" w:space="0" w:color="auto"/>
        <w:left w:val="none" w:sz="0" w:space="0" w:color="auto"/>
        <w:bottom w:val="none" w:sz="0" w:space="0" w:color="auto"/>
        <w:right w:val="none" w:sz="0" w:space="0" w:color="auto"/>
      </w:divBdr>
    </w:div>
    <w:div w:id="564414901">
      <w:bodyDiv w:val="1"/>
      <w:marLeft w:val="0"/>
      <w:marRight w:val="0"/>
      <w:marTop w:val="0"/>
      <w:marBottom w:val="0"/>
      <w:divBdr>
        <w:top w:val="none" w:sz="0" w:space="0" w:color="auto"/>
        <w:left w:val="none" w:sz="0" w:space="0" w:color="auto"/>
        <w:bottom w:val="none" w:sz="0" w:space="0" w:color="auto"/>
        <w:right w:val="none" w:sz="0" w:space="0" w:color="auto"/>
      </w:divBdr>
    </w:div>
    <w:div w:id="571157347">
      <w:bodyDiv w:val="1"/>
      <w:marLeft w:val="0"/>
      <w:marRight w:val="0"/>
      <w:marTop w:val="0"/>
      <w:marBottom w:val="0"/>
      <w:divBdr>
        <w:top w:val="none" w:sz="0" w:space="0" w:color="auto"/>
        <w:left w:val="none" w:sz="0" w:space="0" w:color="auto"/>
        <w:bottom w:val="none" w:sz="0" w:space="0" w:color="auto"/>
        <w:right w:val="none" w:sz="0" w:space="0" w:color="auto"/>
      </w:divBdr>
    </w:div>
    <w:div w:id="574242207">
      <w:bodyDiv w:val="1"/>
      <w:marLeft w:val="0"/>
      <w:marRight w:val="0"/>
      <w:marTop w:val="0"/>
      <w:marBottom w:val="0"/>
      <w:divBdr>
        <w:top w:val="none" w:sz="0" w:space="0" w:color="auto"/>
        <w:left w:val="none" w:sz="0" w:space="0" w:color="auto"/>
        <w:bottom w:val="none" w:sz="0" w:space="0" w:color="auto"/>
        <w:right w:val="none" w:sz="0" w:space="0" w:color="auto"/>
      </w:divBdr>
    </w:div>
    <w:div w:id="721097262">
      <w:bodyDiv w:val="1"/>
      <w:marLeft w:val="0"/>
      <w:marRight w:val="0"/>
      <w:marTop w:val="0"/>
      <w:marBottom w:val="0"/>
      <w:divBdr>
        <w:top w:val="none" w:sz="0" w:space="0" w:color="auto"/>
        <w:left w:val="none" w:sz="0" w:space="0" w:color="auto"/>
        <w:bottom w:val="none" w:sz="0" w:space="0" w:color="auto"/>
        <w:right w:val="none" w:sz="0" w:space="0" w:color="auto"/>
      </w:divBdr>
    </w:div>
    <w:div w:id="1007634424">
      <w:bodyDiv w:val="1"/>
      <w:marLeft w:val="0"/>
      <w:marRight w:val="0"/>
      <w:marTop w:val="0"/>
      <w:marBottom w:val="0"/>
      <w:divBdr>
        <w:top w:val="none" w:sz="0" w:space="0" w:color="auto"/>
        <w:left w:val="none" w:sz="0" w:space="0" w:color="auto"/>
        <w:bottom w:val="none" w:sz="0" w:space="0" w:color="auto"/>
        <w:right w:val="none" w:sz="0" w:space="0" w:color="auto"/>
      </w:divBdr>
    </w:div>
    <w:div w:id="1015380271">
      <w:bodyDiv w:val="1"/>
      <w:marLeft w:val="0"/>
      <w:marRight w:val="0"/>
      <w:marTop w:val="0"/>
      <w:marBottom w:val="0"/>
      <w:divBdr>
        <w:top w:val="none" w:sz="0" w:space="0" w:color="auto"/>
        <w:left w:val="none" w:sz="0" w:space="0" w:color="auto"/>
        <w:bottom w:val="none" w:sz="0" w:space="0" w:color="auto"/>
        <w:right w:val="none" w:sz="0" w:space="0" w:color="auto"/>
      </w:divBdr>
    </w:div>
    <w:div w:id="1052341948">
      <w:bodyDiv w:val="1"/>
      <w:marLeft w:val="0"/>
      <w:marRight w:val="0"/>
      <w:marTop w:val="0"/>
      <w:marBottom w:val="0"/>
      <w:divBdr>
        <w:top w:val="none" w:sz="0" w:space="0" w:color="auto"/>
        <w:left w:val="none" w:sz="0" w:space="0" w:color="auto"/>
        <w:bottom w:val="none" w:sz="0" w:space="0" w:color="auto"/>
        <w:right w:val="none" w:sz="0" w:space="0" w:color="auto"/>
      </w:divBdr>
    </w:div>
    <w:div w:id="1128090742">
      <w:bodyDiv w:val="1"/>
      <w:marLeft w:val="0"/>
      <w:marRight w:val="0"/>
      <w:marTop w:val="0"/>
      <w:marBottom w:val="0"/>
      <w:divBdr>
        <w:top w:val="none" w:sz="0" w:space="0" w:color="auto"/>
        <w:left w:val="none" w:sz="0" w:space="0" w:color="auto"/>
        <w:bottom w:val="none" w:sz="0" w:space="0" w:color="auto"/>
        <w:right w:val="none" w:sz="0" w:space="0" w:color="auto"/>
      </w:divBdr>
    </w:div>
    <w:div w:id="123138270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78110502">
      <w:bodyDiv w:val="1"/>
      <w:marLeft w:val="0"/>
      <w:marRight w:val="0"/>
      <w:marTop w:val="0"/>
      <w:marBottom w:val="0"/>
      <w:divBdr>
        <w:top w:val="none" w:sz="0" w:space="0" w:color="auto"/>
        <w:left w:val="none" w:sz="0" w:space="0" w:color="auto"/>
        <w:bottom w:val="none" w:sz="0" w:space="0" w:color="auto"/>
        <w:right w:val="none" w:sz="0" w:space="0" w:color="auto"/>
      </w:divBdr>
    </w:div>
    <w:div w:id="1511679630">
      <w:bodyDiv w:val="1"/>
      <w:marLeft w:val="0"/>
      <w:marRight w:val="0"/>
      <w:marTop w:val="0"/>
      <w:marBottom w:val="0"/>
      <w:divBdr>
        <w:top w:val="none" w:sz="0" w:space="0" w:color="auto"/>
        <w:left w:val="none" w:sz="0" w:space="0" w:color="auto"/>
        <w:bottom w:val="none" w:sz="0" w:space="0" w:color="auto"/>
        <w:right w:val="none" w:sz="0" w:space="0" w:color="auto"/>
      </w:divBdr>
    </w:div>
    <w:div w:id="1516534709">
      <w:bodyDiv w:val="1"/>
      <w:marLeft w:val="0"/>
      <w:marRight w:val="0"/>
      <w:marTop w:val="0"/>
      <w:marBottom w:val="0"/>
      <w:divBdr>
        <w:top w:val="none" w:sz="0" w:space="0" w:color="auto"/>
        <w:left w:val="none" w:sz="0" w:space="0" w:color="auto"/>
        <w:bottom w:val="none" w:sz="0" w:space="0" w:color="auto"/>
        <w:right w:val="none" w:sz="0" w:space="0" w:color="auto"/>
      </w:divBdr>
    </w:div>
    <w:div w:id="1561210543">
      <w:bodyDiv w:val="1"/>
      <w:marLeft w:val="0"/>
      <w:marRight w:val="0"/>
      <w:marTop w:val="0"/>
      <w:marBottom w:val="0"/>
      <w:divBdr>
        <w:top w:val="none" w:sz="0" w:space="0" w:color="auto"/>
        <w:left w:val="none" w:sz="0" w:space="0" w:color="auto"/>
        <w:bottom w:val="none" w:sz="0" w:space="0" w:color="auto"/>
        <w:right w:val="none" w:sz="0" w:space="0" w:color="auto"/>
      </w:divBdr>
    </w:div>
    <w:div w:id="1563952022">
      <w:bodyDiv w:val="1"/>
      <w:marLeft w:val="0"/>
      <w:marRight w:val="0"/>
      <w:marTop w:val="0"/>
      <w:marBottom w:val="0"/>
      <w:divBdr>
        <w:top w:val="none" w:sz="0" w:space="0" w:color="auto"/>
        <w:left w:val="none" w:sz="0" w:space="0" w:color="auto"/>
        <w:bottom w:val="none" w:sz="0" w:space="0" w:color="auto"/>
        <w:right w:val="none" w:sz="0" w:space="0" w:color="auto"/>
      </w:divBdr>
    </w:div>
    <w:div w:id="1603683943">
      <w:bodyDiv w:val="1"/>
      <w:marLeft w:val="0"/>
      <w:marRight w:val="0"/>
      <w:marTop w:val="0"/>
      <w:marBottom w:val="0"/>
      <w:divBdr>
        <w:top w:val="none" w:sz="0" w:space="0" w:color="auto"/>
        <w:left w:val="none" w:sz="0" w:space="0" w:color="auto"/>
        <w:bottom w:val="none" w:sz="0" w:space="0" w:color="auto"/>
        <w:right w:val="none" w:sz="0" w:space="0" w:color="auto"/>
      </w:divBdr>
    </w:div>
    <w:div w:id="1657763950">
      <w:bodyDiv w:val="1"/>
      <w:marLeft w:val="0"/>
      <w:marRight w:val="0"/>
      <w:marTop w:val="0"/>
      <w:marBottom w:val="0"/>
      <w:divBdr>
        <w:top w:val="none" w:sz="0" w:space="0" w:color="auto"/>
        <w:left w:val="none" w:sz="0" w:space="0" w:color="auto"/>
        <w:bottom w:val="none" w:sz="0" w:space="0" w:color="auto"/>
        <w:right w:val="none" w:sz="0" w:space="0" w:color="auto"/>
      </w:divBdr>
    </w:div>
    <w:div w:id="1757706086">
      <w:bodyDiv w:val="1"/>
      <w:marLeft w:val="0"/>
      <w:marRight w:val="0"/>
      <w:marTop w:val="0"/>
      <w:marBottom w:val="0"/>
      <w:divBdr>
        <w:top w:val="none" w:sz="0" w:space="0" w:color="auto"/>
        <w:left w:val="none" w:sz="0" w:space="0" w:color="auto"/>
        <w:bottom w:val="none" w:sz="0" w:space="0" w:color="auto"/>
        <w:right w:val="none" w:sz="0" w:space="0" w:color="auto"/>
      </w:divBdr>
    </w:div>
    <w:div w:id="1785418130">
      <w:bodyDiv w:val="1"/>
      <w:marLeft w:val="0"/>
      <w:marRight w:val="0"/>
      <w:marTop w:val="0"/>
      <w:marBottom w:val="0"/>
      <w:divBdr>
        <w:top w:val="none" w:sz="0" w:space="0" w:color="auto"/>
        <w:left w:val="none" w:sz="0" w:space="0" w:color="auto"/>
        <w:bottom w:val="none" w:sz="0" w:space="0" w:color="auto"/>
        <w:right w:val="none" w:sz="0" w:space="0" w:color="auto"/>
      </w:divBdr>
    </w:div>
    <w:div w:id="1833326094">
      <w:bodyDiv w:val="1"/>
      <w:marLeft w:val="0"/>
      <w:marRight w:val="0"/>
      <w:marTop w:val="0"/>
      <w:marBottom w:val="0"/>
      <w:divBdr>
        <w:top w:val="none" w:sz="0" w:space="0" w:color="auto"/>
        <w:left w:val="none" w:sz="0" w:space="0" w:color="auto"/>
        <w:bottom w:val="none" w:sz="0" w:space="0" w:color="auto"/>
        <w:right w:val="none" w:sz="0" w:space="0" w:color="auto"/>
      </w:divBdr>
    </w:div>
    <w:div w:id="2007661718">
      <w:bodyDiv w:val="1"/>
      <w:marLeft w:val="0"/>
      <w:marRight w:val="0"/>
      <w:marTop w:val="0"/>
      <w:marBottom w:val="0"/>
      <w:divBdr>
        <w:top w:val="none" w:sz="0" w:space="0" w:color="auto"/>
        <w:left w:val="none" w:sz="0" w:space="0" w:color="auto"/>
        <w:bottom w:val="none" w:sz="0" w:space="0" w:color="auto"/>
        <w:right w:val="none" w:sz="0" w:space="0" w:color="auto"/>
      </w:divBdr>
    </w:div>
    <w:div w:id="2022000799">
      <w:bodyDiv w:val="1"/>
      <w:marLeft w:val="0"/>
      <w:marRight w:val="0"/>
      <w:marTop w:val="0"/>
      <w:marBottom w:val="0"/>
      <w:divBdr>
        <w:top w:val="none" w:sz="0" w:space="0" w:color="auto"/>
        <w:left w:val="none" w:sz="0" w:space="0" w:color="auto"/>
        <w:bottom w:val="none" w:sz="0" w:space="0" w:color="auto"/>
        <w:right w:val="none" w:sz="0" w:space="0" w:color="auto"/>
      </w:divBdr>
    </w:div>
    <w:div w:id="2053457582">
      <w:bodyDiv w:val="1"/>
      <w:marLeft w:val="0"/>
      <w:marRight w:val="0"/>
      <w:marTop w:val="0"/>
      <w:marBottom w:val="0"/>
      <w:divBdr>
        <w:top w:val="none" w:sz="0" w:space="0" w:color="auto"/>
        <w:left w:val="none" w:sz="0" w:space="0" w:color="auto"/>
        <w:bottom w:val="none" w:sz="0" w:space="0" w:color="auto"/>
        <w:right w:val="none" w:sz="0" w:space="0" w:color="auto"/>
      </w:divBdr>
    </w:div>
    <w:div w:id="210534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7DEBBE-C368-4E62-8422-58D50AD85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5008</Words>
  <Characters>28550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Татьяна А. Шмонина</cp:lastModifiedBy>
  <cp:revision>6</cp:revision>
  <cp:lastPrinted>2023-04-25T10:30:00Z</cp:lastPrinted>
  <dcterms:created xsi:type="dcterms:W3CDTF">2023-04-26T05:40:00Z</dcterms:created>
  <dcterms:modified xsi:type="dcterms:W3CDTF">2023-04-28T09:09:00Z</dcterms:modified>
</cp:coreProperties>
</file>