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A1B" w:rsidRPr="00E2727C" w:rsidRDefault="006D3A1B" w:rsidP="000B408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27C">
        <w:rPr>
          <w:rFonts w:ascii="Times New Roman" w:hAnsi="Times New Roman" w:cs="Times New Roman"/>
          <w:b/>
          <w:sz w:val="24"/>
          <w:szCs w:val="24"/>
        </w:rPr>
        <w:t>Пояснительная записка к докладу за 2022 год</w:t>
      </w:r>
    </w:p>
    <w:p w:rsidR="006D3A1B" w:rsidRPr="00ED0DDB" w:rsidRDefault="006D3A1B" w:rsidP="000B40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Пильнинский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округ расположен в юго-восточной части Нижегородской области. Окружной центр Пильна находится в 180 км от Нижнего Новгорода. Территория округа занимает площадь 1313 км</w:t>
      </w:r>
      <w:r w:rsidR="001D1F5A">
        <w:rPr>
          <w:rFonts w:ascii="Times New Roman" w:hAnsi="Times New Roman" w:cs="Times New Roman"/>
          <w:sz w:val="24"/>
          <w:szCs w:val="24"/>
        </w:rPr>
        <w:t xml:space="preserve"> </w:t>
      </w:r>
      <w:r w:rsidRPr="00ED0DDB">
        <w:rPr>
          <w:rFonts w:ascii="Times New Roman" w:hAnsi="Times New Roman" w:cs="Times New Roman"/>
          <w:sz w:val="24"/>
          <w:szCs w:val="24"/>
        </w:rPr>
        <w:t xml:space="preserve">2, численность населения по состоянию на 1 января 2023 года составляет 18307 человека.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Пильнинский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округ граничит на западе с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Сергачским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, Краснооктябрьским и Спасским округами, на севере с Воротынским округом, на юге – с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Сеченовским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округом и на востоке – Республикой Чувашия по реке Суре, притоку Волги. </w:t>
      </w:r>
    </w:p>
    <w:p w:rsidR="00E2727C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Наличие развитой сети автомобильных дорог, энергоресурсов, железнодорожной ветки выгодно отличает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Пильнинский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округ от других сельскохозяйственных территорий Нижегородской области и делает его привлекательным для инвесторов.</w:t>
      </w:r>
      <w:r w:rsidR="00E272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727C" w:rsidRDefault="006D3A1B" w:rsidP="000B40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По итогам Оценки эффективности деятельности ОМСУ в 2021 году в рейтинге среди округов с численностью от 15 до 20 тыс. чел.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Пильнинский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округ занимает 4 место.</w:t>
      </w:r>
      <w:r w:rsidR="00E272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3A1B" w:rsidRPr="00ED0DDB" w:rsidRDefault="006D3A1B" w:rsidP="000B40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По рейтинговой оценке, Правительства Нижегородской области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Пильнинский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округ на протяжении ряда лет округ находится на среднем уровне социально-экономического развития. По общему интегральному показателю за 2022 год округ занимает 25 - е место среди 52 территорий области (2021 год – 29-е место).</w:t>
      </w:r>
    </w:p>
    <w:p w:rsidR="006D3A1B" w:rsidRPr="00E2727C" w:rsidRDefault="006D3A1B" w:rsidP="000B408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27C">
        <w:rPr>
          <w:rFonts w:ascii="Times New Roman" w:hAnsi="Times New Roman" w:cs="Times New Roman"/>
          <w:b/>
          <w:sz w:val="24"/>
          <w:szCs w:val="24"/>
        </w:rPr>
        <w:t>1. Экономическое развитие</w:t>
      </w:r>
    </w:p>
    <w:p w:rsidR="00E2727C" w:rsidRDefault="006D3A1B" w:rsidP="000B40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>Одним из приоритетных направлений работы администрации округа является создание максимально комфортной среды для развития малого и среднего бизнеса.</w:t>
      </w:r>
    </w:p>
    <w:p w:rsidR="006D3A1B" w:rsidRPr="00ED0DDB" w:rsidRDefault="006D3A1B" w:rsidP="000B40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По состоянию на 1 января 2023 года на территории округа действуют 321 субъекта малого и среднего предпринимательства, из которых 248 индивидуальных предпринимателей и 73 юридических лица. </w:t>
      </w:r>
    </w:p>
    <w:p w:rsidR="006D3A1B" w:rsidRPr="00ED0DDB" w:rsidRDefault="006D3A1B" w:rsidP="000B40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В 2022 году 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снизилась и составила 38,4 %. </w:t>
      </w:r>
    </w:p>
    <w:p w:rsidR="006D3A1B" w:rsidRPr="00ED0DDB" w:rsidRDefault="006D3A1B" w:rsidP="000B40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Среднесписочная численность работников малых предприятий  в 2022 г. 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1424 чел.)  по сравнению с 2021 годом (1370 чел.) увеличилась на 54 человека  в связи с переходом предприятия СПК «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Медяна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>» из категории « крупные и средние» предприятия в « малые».</w:t>
      </w:r>
    </w:p>
    <w:p w:rsidR="006D3A1B" w:rsidRPr="00ED0DDB" w:rsidRDefault="006D3A1B" w:rsidP="000B40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>Среднесписочная численность работников средних предприятий в 2022 г. по сравнению с 2021 годом уменьшилась на 5 человек. Основная доля снижения численности приходится на предприятия  сельского хозяйства.</w:t>
      </w:r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lastRenderedPageBreak/>
        <w:t>Среднесписочная численность работников категории «крупных и средних» предприятий  2022 года  по сравнению с 2021 годом увеличилась на 463 человека в связи с осуществлением строительства трассы М-12.</w:t>
      </w:r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 </w:t>
      </w:r>
      <w:r w:rsidRPr="00ED0DD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>В 2022 году объем инвестиций в основной капитал (за исключением бюджетных средств) увеличился на 10,8 % по отношению к 2021 году и составил 741298 тыс. руб., соответственно и объем инвестиций в основной капитал в расчете на одного жителя так же увеличился и составил 40,2 тыс. руб.  Увеличение объема инвестиций обусловлено увеличением объема инвестиций в основной капитал сельского хозяйства.</w:t>
      </w:r>
      <w:r w:rsidRPr="00ED0DDB">
        <w:rPr>
          <w:rFonts w:ascii="Times New Roman" w:hAnsi="Times New Roman" w:cs="Times New Roman"/>
          <w:sz w:val="24"/>
          <w:szCs w:val="24"/>
        </w:rPr>
        <w:tab/>
      </w:r>
      <w:proofErr w:type="gramEnd"/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 </w:t>
      </w:r>
      <w:r w:rsidR="00E2727C">
        <w:rPr>
          <w:rFonts w:ascii="Times New Roman" w:hAnsi="Times New Roman" w:cs="Times New Roman"/>
          <w:sz w:val="24"/>
          <w:szCs w:val="24"/>
        </w:rPr>
        <w:tab/>
      </w:r>
      <w:r w:rsidRPr="00ED0DDB">
        <w:rPr>
          <w:rFonts w:ascii="Times New Roman" w:hAnsi="Times New Roman" w:cs="Times New Roman"/>
          <w:sz w:val="24"/>
          <w:szCs w:val="24"/>
        </w:rPr>
        <w:t xml:space="preserve">Доля площади земельных участков, являющихся объектами налогообложения земельным налогом, в общей площади округа подлежащая налогообложению в соответствии с действующим законодательством составила 80,75% </w:t>
      </w:r>
    </w:p>
    <w:p w:rsidR="00E2727C" w:rsidRDefault="006D3A1B" w:rsidP="000B40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На </w:t>
      </w:r>
      <w:smartTag w:uri="urn:schemas-microsoft-com:office:smarttags" w:element="date">
        <w:smartTagPr>
          <w:attr w:name="ls" w:val="trans"/>
          <w:attr w:name="Month" w:val="1"/>
          <w:attr w:name="Day" w:val="1"/>
          <w:attr w:name="Year" w:val="2023"/>
        </w:smartTagPr>
        <w:r w:rsidRPr="00ED0DDB">
          <w:rPr>
            <w:rFonts w:ascii="Times New Roman" w:hAnsi="Times New Roman" w:cs="Times New Roman"/>
            <w:sz w:val="24"/>
            <w:szCs w:val="24"/>
          </w:rPr>
          <w:t>1 января   2023 года</w:t>
        </w:r>
      </w:smartTag>
      <w:r w:rsidRPr="00ED0DDB">
        <w:rPr>
          <w:rFonts w:ascii="Times New Roman" w:hAnsi="Times New Roman" w:cs="Times New Roman"/>
          <w:sz w:val="24"/>
          <w:szCs w:val="24"/>
        </w:rPr>
        <w:t xml:space="preserve"> в округе   производственную деятельность осуществляют  16 сельскохозяйственных  производственных кооперативов,  1 крестьянское  фермерское хозяйство, кроме того, 31 индивидуальный предприниматель  (глав КФХ), более 10 000 личных подсобных хозяйств.</w:t>
      </w:r>
      <w:r w:rsidR="00E2727C">
        <w:rPr>
          <w:rFonts w:ascii="Times New Roman" w:hAnsi="Times New Roman" w:cs="Times New Roman"/>
          <w:sz w:val="24"/>
          <w:szCs w:val="24"/>
        </w:rPr>
        <w:t xml:space="preserve"> </w:t>
      </w:r>
      <w:r w:rsidRPr="00ED0DDB">
        <w:rPr>
          <w:rFonts w:ascii="Times New Roman" w:hAnsi="Times New Roman" w:cs="Times New Roman"/>
          <w:sz w:val="24"/>
          <w:szCs w:val="24"/>
        </w:rPr>
        <w:t>Основными направлениями развития сельского хозяйства в округе по-прежнему остаются развитие растениеводства и животноводства, ориентированные на производство молока, мяса и зерна.</w:t>
      </w:r>
      <w:r w:rsidR="00E2727C">
        <w:rPr>
          <w:rFonts w:ascii="Times New Roman" w:hAnsi="Times New Roman" w:cs="Times New Roman"/>
          <w:sz w:val="24"/>
          <w:szCs w:val="24"/>
        </w:rPr>
        <w:t xml:space="preserve"> </w:t>
      </w:r>
      <w:r w:rsidRPr="00ED0DDB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Пильнинского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 муниципального округа действует муниципальная программа «Развитие агропромышленного комплекса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Пильнинского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на 2015 -2025 годы», которая утверждена постановлением администрации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Пильнинского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 муниципального округа от </w:t>
      </w:r>
      <w:smartTag w:uri="urn:schemas-microsoft-com:office:smarttags" w:element="date">
        <w:smartTagPr>
          <w:attr w:name="ls" w:val="trans"/>
          <w:attr w:name="Month" w:val="10"/>
          <w:attr w:name="Day" w:val="10"/>
          <w:attr w:name="Year" w:val="2014"/>
        </w:smartTagPr>
        <w:r w:rsidRPr="00ED0DDB">
          <w:rPr>
            <w:rFonts w:ascii="Times New Roman" w:hAnsi="Times New Roman" w:cs="Times New Roman"/>
            <w:sz w:val="24"/>
            <w:szCs w:val="24"/>
          </w:rPr>
          <w:t>10.10.2014</w:t>
        </w:r>
      </w:smartTag>
      <w:r w:rsidRPr="00ED0DDB">
        <w:rPr>
          <w:rFonts w:ascii="Times New Roman" w:hAnsi="Times New Roman" w:cs="Times New Roman"/>
          <w:sz w:val="24"/>
          <w:szCs w:val="24"/>
        </w:rPr>
        <w:t xml:space="preserve">  года № 820, основной целью которой является увеличение производства сельхозпродукции, рост конкурентоспособности сельхозпредприятий, повышение качества жизни сельского труженика. В рамках муниципальной программы финансирование осуществляется из средств федерального и областного бюджетов, а также внебюджетных источников - кредитов и собственных сре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>дств  пр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>едприятий. По итогам  года   в рамках реализации   данной программы с бюджетов всех уровней, хозяйствами округа  получено  165,9 млн. рублей,  в том числе из областного  бюджета –  114,2 млн. руб., из федерального – 51,7 млн. руб.</w:t>
      </w:r>
      <w:r w:rsidR="00E272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727C" w:rsidRDefault="006D3A1B" w:rsidP="000B40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За 2022 год почти все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сельхозорганизации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 сработали с прибылью,  общая масса прибыли составила 268 млн. рублей Больше других получили прибыли: СПК «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Деяновский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» - 97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млн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>, СПК «Новый путь» - 55,5 млн. руб.,  СПК «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Майданский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» - 34,3 млн.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>,.</w:t>
      </w:r>
      <w:r w:rsidR="00E2727C">
        <w:rPr>
          <w:rFonts w:ascii="Times New Roman" w:hAnsi="Times New Roman" w:cs="Times New Roman"/>
          <w:sz w:val="24"/>
          <w:szCs w:val="24"/>
        </w:rPr>
        <w:t xml:space="preserve"> </w:t>
      </w:r>
      <w:r w:rsidRPr="00ED0DDB">
        <w:rPr>
          <w:rFonts w:ascii="Times New Roman" w:hAnsi="Times New Roman" w:cs="Times New Roman"/>
          <w:sz w:val="24"/>
          <w:szCs w:val="24"/>
        </w:rPr>
        <w:t xml:space="preserve">Выручка от реализации сельскохозяйственной продукции </w:t>
      </w:r>
      <w:r w:rsidR="00E2727C">
        <w:rPr>
          <w:rFonts w:ascii="Times New Roman" w:hAnsi="Times New Roman" w:cs="Times New Roman"/>
          <w:sz w:val="24"/>
          <w:szCs w:val="24"/>
        </w:rPr>
        <w:t xml:space="preserve">составила 1 479,8 млн. рублей.  </w:t>
      </w:r>
      <w:r w:rsidRPr="00ED0DDB">
        <w:rPr>
          <w:rFonts w:ascii="Times New Roman" w:hAnsi="Times New Roman" w:cs="Times New Roman"/>
          <w:sz w:val="24"/>
          <w:szCs w:val="24"/>
        </w:rPr>
        <w:t xml:space="preserve">Средняя заработная плата в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сельхозорганизациях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составляет 34979,00 </w:t>
      </w:r>
      <w:r w:rsidRPr="00ED0DDB">
        <w:rPr>
          <w:rFonts w:ascii="Times New Roman" w:hAnsi="Times New Roman" w:cs="Times New Roman"/>
          <w:sz w:val="24"/>
          <w:szCs w:val="24"/>
        </w:rPr>
        <w:lastRenderedPageBreak/>
        <w:t xml:space="preserve">рублей  в месяц, рост к уровню прошлого года – 11 %.   На полях и фермах в СПК и КФХ округа трудятся 1,1 тыс.  </w:t>
      </w:r>
    </w:p>
    <w:p w:rsidR="006D3A1B" w:rsidRPr="00ED0DDB" w:rsidRDefault="006D3A1B" w:rsidP="000B40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>Достигнутый уровень производства  сельскохозяйственной  продукции позволил  за 2022 год получить  объем валовой продукции  в хозяйствах всех категорий  на сумму  3655,9   млн.</w:t>
      </w:r>
      <w:r w:rsidR="00E2727C">
        <w:rPr>
          <w:rFonts w:ascii="Times New Roman" w:hAnsi="Times New Roman" w:cs="Times New Roman"/>
          <w:sz w:val="24"/>
          <w:szCs w:val="24"/>
        </w:rPr>
        <w:t xml:space="preserve"> рублей  </w:t>
      </w:r>
      <w:r w:rsidRPr="00ED0DDB">
        <w:rPr>
          <w:rFonts w:ascii="Times New Roman" w:hAnsi="Times New Roman" w:cs="Times New Roman"/>
          <w:sz w:val="24"/>
          <w:szCs w:val="24"/>
        </w:rPr>
        <w:t>или на 29,7 %  больше к соответствующему периоду 2021 года.   В том числе по СПК и КФХ – 3343,9  млн</w:t>
      </w:r>
      <w:r w:rsidR="00E2727C">
        <w:rPr>
          <w:rFonts w:ascii="Times New Roman" w:hAnsi="Times New Roman" w:cs="Times New Roman"/>
          <w:sz w:val="24"/>
          <w:szCs w:val="24"/>
        </w:rPr>
        <w:t>.</w:t>
      </w:r>
      <w:r w:rsidRPr="00ED0DDB">
        <w:rPr>
          <w:rFonts w:ascii="Times New Roman" w:hAnsi="Times New Roman" w:cs="Times New Roman"/>
          <w:sz w:val="24"/>
          <w:szCs w:val="24"/>
        </w:rPr>
        <w:t xml:space="preserve"> рублей или на 32,9 % больше к 2021 году.</w:t>
      </w:r>
      <w:r w:rsidR="00E2727C">
        <w:rPr>
          <w:rFonts w:ascii="Times New Roman" w:hAnsi="Times New Roman" w:cs="Times New Roman"/>
          <w:sz w:val="24"/>
          <w:szCs w:val="24"/>
        </w:rPr>
        <w:t xml:space="preserve"> </w:t>
      </w:r>
      <w:r w:rsidRPr="00ED0DDB">
        <w:rPr>
          <w:rFonts w:ascii="Times New Roman" w:hAnsi="Times New Roman" w:cs="Times New Roman"/>
          <w:sz w:val="24"/>
          <w:szCs w:val="24"/>
        </w:rPr>
        <w:t xml:space="preserve">Наш округ – на самых передовых позициях по уровню сельскохозяйственного производства  в области. </w:t>
      </w:r>
    </w:p>
    <w:p w:rsidR="000B4088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ab/>
        <w:t>В округе продолжается работа  по реконструкции  старых  и строительству новых  животноводческих помещений. Так в 2022 году был введен в эксплуатацию  животноводческое помещение для содержания ремонтного молодняка в СПК «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Деяновский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». В 2022 году началось строительство коровника на 150 годов и строительство телятника для содержания ремонтного молодняка на 284 головы беспривязного содержания в КФХ ИП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Сабитов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Рустям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Сафаович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>.</w:t>
      </w:r>
      <w:r w:rsidR="000B40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3A1B" w:rsidRPr="00ED0DDB" w:rsidRDefault="006D3A1B" w:rsidP="000B40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>Для хранения зерновых были построены склады  в СПК «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Майданский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>», СПК «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Деяновский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>».</w:t>
      </w:r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ab/>
        <w:t xml:space="preserve">Валовый сбор зерновых и зернобобовых составил  в весе после доработки -87,8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>онны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при средней урожайности - 29,3 ц/га. В том числе по СПК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валовка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зерна составила 70,4 тысяч тонн при урожайности 30,0 ц/га, по КФХ – 17,4 тысячи</w:t>
      </w:r>
      <w:r w:rsidR="005B03AF">
        <w:rPr>
          <w:rFonts w:ascii="Times New Roman" w:hAnsi="Times New Roman" w:cs="Times New Roman"/>
          <w:sz w:val="24"/>
          <w:szCs w:val="24"/>
        </w:rPr>
        <w:t xml:space="preserve"> тонн при урожайности 26,7 ц/га. </w:t>
      </w:r>
      <w:r w:rsidRPr="00ED0DDB">
        <w:rPr>
          <w:rFonts w:ascii="Times New Roman" w:hAnsi="Times New Roman" w:cs="Times New Roman"/>
          <w:sz w:val="24"/>
          <w:szCs w:val="24"/>
        </w:rPr>
        <w:t xml:space="preserve">Кроме того, заготовлено 41561 тонн кормовых единиц грубых  и сочных кормов или 26,2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цн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на 1 условную голову скота.</w:t>
      </w:r>
      <w:r w:rsidR="005B03AF">
        <w:rPr>
          <w:rFonts w:ascii="Times New Roman" w:hAnsi="Times New Roman" w:cs="Times New Roman"/>
          <w:sz w:val="24"/>
          <w:szCs w:val="24"/>
        </w:rPr>
        <w:t xml:space="preserve"> </w:t>
      </w:r>
      <w:r w:rsidRPr="00ED0DDB">
        <w:rPr>
          <w:rFonts w:ascii="Times New Roman" w:hAnsi="Times New Roman" w:cs="Times New Roman"/>
          <w:sz w:val="24"/>
          <w:szCs w:val="24"/>
        </w:rPr>
        <w:t xml:space="preserve">Озимая пшеница под урожай 2023 года посеяна на площади 9573 га, к 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>сожалению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 на 1060 га меньше чем в 2022 году. На полях округа работает новая высокопроизводительная техника. Значительно повышает качество работ вспашка оборотными плугами, которые работают в количестве  21 </w:t>
      </w:r>
      <w:proofErr w:type="spellStart"/>
      <w:proofErr w:type="gramStart"/>
      <w:r w:rsidRPr="00ED0DDB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  <w:r w:rsidRPr="00ED0DDB">
        <w:rPr>
          <w:rFonts w:ascii="Times New Roman" w:hAnsi="Times New Roman" w:cs="Times New Roman"/>
          <w:sz w:val="24"/>
          <w:szCs w:val="24"/>
        </w:rPr>
        <w:t>, в 15  хозяйствах округа, 15 метровые культиваторы, в 5 хозяйствах применяются глубокорыхлители. Для качественного высева семян применяются новые типы  сеялок, посевные комплексы, Практически  во всех хозяйствах вошло в правило 100%-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протравливание семян, прикорневая подкормка, обработка посевов от сорняков и вредителей, 14 % зерновых были посеяны элитными семенами.</w:t>
      </w:r>
      <w:r w:rsidR="005B03AF">
        <w:rPr>
          <w:rFonts w:ascii="Times New Roman" w:hAnsi="Times New Roman" w:cs="Times New Roman"/>
          <w:sz w:val="24"/>
          <w:szCs w:val="24"/>
        </w:rPr>
        <w:t xml:space="preserve"> </w:t>
      </w:r>
      <w:r w:rsidRPr="00ED0DDB">
        <w:rPr>
          <w:rFonts w:ascii="Times New Roman" w:hAnsi="Times New Roman" w:cs="Times New Roman"/>
          <w:sz w:val="24"/>
          <w:szCs w:val="24"/>
        </w:rPr>
        <w:t xml:space="preserve">Почти во всех хозяйствах округа возделывается кукуруза на силос, площади которой в отчетном году составляли 3053 га. В 3-х хозяйствах сеют кукурузу на зерно на площади 470 га. 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>Площадь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 засеянная кормовыми культурами составляет 10155 га.</w:t>
      </w:r>
      <w:r w:rsidR="005B03AF">
        <w:rPr>
          <w:rFonts w:ascii="Times New Roman" w:hAnsi="Times New Roman" w:cs="Times New Roman"/>
          <w:sz w:val="24"/>
          <w:szCs w:val="24"/>
        </w:rPr>
        <w:t xml:space="preserve"> </w:t>
      </w:r>
      <w:r w:rsidRPr="00ED0DDB">
        <w:rPr>
          <w:rFonts w:ascii="Times New Roman" w:hAnsi="Times New Roman" w:cs="Times New Roman"/>
          <w:sz w:val="24"/>
          <w:szCs w:val="24"/>
        </w:rPr>
        <w:t xml:space="preserve">Животноводство является основной и ведущей отраслью нашего  сельского хозяйства, доходы  от нее  во  многих хозяйствах  составляют от 70  до 80 %. Эта  отрасль обеспечивает круглогодичную занятость </w:t>
      </w:r>
      <w:r w:rsidRPr="00ED0DDB">
        <w:rPr>
          <w:rFonts w:ascii="Times New Roman" w:hAnsi="Times New Roman" w:cs="Times New Roman"/>
          <w:sz w:val="24"/>
          <w:szCs w:val="24"/>
        </w:rPr>
        <w:lastRenderedPageBreak/>
        <w:t>населения. Проблем в этой отрасли немало, однако, за  последние годы существенно  изменились условия и отношения к этим  проблемам.</w:t>
      </w:r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 </w:t>
      </w:r>
      <w:r w:rsidRPr="00ED0DDB">
        <w:rPr>
          <w:rFonts w:ascii="Times New Roman" w:hAnsi="Times New Roman" w:cs="Times New Roman"/>
          <w:sz w:val="24"/>
          <w:szCs w:val="24"/>
        </w:rPr>
        <w:tab/>
        <w:t xml:space="preserve">Основным  источником доходов  сельхозпроизводителей округа   является выручка от реализации молока. Пусть в 2022 году было уменьшение поголовья коров, все равно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Пильнинский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округ  занимает второе место   по производству  молока,  по итогам 2022 года его произведено  по СПК и КФХ – 46,8 тысяч тонн, или (-1011)  тонн к уровню  прошлого года.   В том числе по СПК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валовка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молока составила -36,7 тысяч тонн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>-926,5 тонны), по КФХ – 10,0 тысяч тонн ( -84,5 тонны). Надой на корову  за 2022 год  в округе  составил 5000 кг.  По фермерским хозяйствам 5625 кг. (-48 кг).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 СХО – 4853 кг.(-58 кг). Наивысший результат показали СПК «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Деяновский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>» - 6645 кг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>СПК «Восход» - 5589 кг., СПК «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Медяна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» - 5511 кг. Среди КФХ –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Камалетдинов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Х.Х. – 7324 кг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>КФХ Хафизов М.А.. – 5524 кг.</w:t>
      </w:r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ab/>
        <w:t xml:space="preserve">Мяса за 2022 год  произведено 1577  тонн, в том  числе в СПК  1351 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тн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., фермерские хозяйства – 226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тн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>.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>Поголовье КРС  по состоянию на 1 января 2023 года составляет в сельскохозяйственных  кооперативах и фермерских  хозяйствах  20144 гол. 98,6 %, в том  числе коров 9184 гол. – 93,8 %, или   минус 609 гол.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0DDB">
        <w:rPr>
          <w:rFonts w:ascii="Times New Roman" w:hAnsi="Times New Roman" w:cs="Times New Roman"/>
          <w:sz w:val="24"/>
          <w:szCs w:val="24"/>
        </w:rPr>
        <w:t>На сегодня важнейшей задачей руководителей, специалистов  хозяйств наряду с повышением эффективности  производства, снижением себестоимости продукции, по прежнему  является  увеличение  уровня заработной  платы..</w:t>
      </w:r>
      <w:proofErr w:type="gramEnd"/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   </w:t>
      </w:r>
      <w:r w:rsidR="005B03AF">
        <w:rPr>
          <w:rFonts w:ascii="Times New Roman" w:hAnsi="Times New Roman" w:cs="Times New Roman"/>
          <w:sz w:val="24"/>
          <w:szCs w:val="24"/>
        </w:rPr>
        <w:tab/>
      </w:r>
      <w:r w:rsidRPr="00ED0DDB">
        <w:rPr>
          <w:rFonts w:ascii="Times New Roman" w:hAnsi="Times New Roman" w:cs="Times New Roman"/>
          <w:sz w:val="24"/>
          <w:szCs w:val="24"/>
        </w:rPr>
        <w:t>Есть проблемы села, которые ежегодно  только обостряются – это обеспеченность не только квалифицированными специалистами, но и  рядовыми работниками. За последние три года   численность  работающих сократилась на 156 человек. Одним из путей решения данной проблемы является участие округа  в Государственной программе Российской Федерации «Комплексное развитие сельских территорий»</w:t>
      </w:r>
      <w:r w:rsidR="005B03AF">
        <w:rPr>
          <w:rFonts w:ascii="Times New Roman" w:hAnsi="Times New Roman" w:cs="Times New Roman"/>
          <w:sz w:val="24"/>
          <w:szCs w:val="24"/>
        </w:rPr>
        <w:t xml:space="preserve"> </w:t>
      </w:r>
      <w:r w:rsidRPr="00ED0DDB">
        <w:rPr>
          <w:rFonts w:ascii="Times New Roman" w:hAnsi="Times New Roman" w:cs="Times New Roman"/>
          <w:sz w:val="24"/>
          <w:szCs w:val="24"/>
        </w:rPr>
        <w:t xml:space="preserve">В 2022 году работники агропромышленного комплекса округа - 2 молодые  семьи получили  свидетельства на улучшение жилищных условий, общая сумма выделенных средств составила 3,7 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 руб.</w:t>
      </w:r>
      <w:r w:rsidR="005B03AF">
        <w:rPr>
          <w:rFonts w:ascii="Times New Roman" w:hAnsi="Times New Roman" w:cs="Times New Roman"/>
          <w:sz w:val="24"/>
          <w:szCs w:val="24"/>
        </w:rPr>
        <w:t xml:space="preserve"> </w:t>
      </w:r>
      <w:r w:rsidRPr="00ED0DDB">
        <w:rPr>
          <w:rFonts w:ascii="Times New Roman" w:hAnsi="Times New Roman" w:cs="Times New Roman"/>
          <w:sz w:val="24"/>
          <w:szCs w:val="24"/>
        </w:rPr>
        <w:t>С начала действия программы данную поддержку получили 155 семьи, на сумму 194,7 млн. рублей.  В настоящее время на финансирование 2023 года на очереди стоят 5 семей.</w:t>
      </w:r>
      <w:r w:rsidR="005B03AF">
        <w:rPr>
          <w:rFonts w:ascii="Times New Roman" w:hAnsi="Times New Roman" w:cs="Times New Roman"/>
          <w:sz w:val="24"/>
          <w:szCs w:val="24"/>
        </w:rPr>
        <w:t xml:space="preserve"> </w:t>
      </w:r>
      <w:r w:rsidRPr="00ED0DDB">
        <w:rPr>
          <w:rFonts w:ascii="Times New Roman" w:hAnsi="Times New Roman" w:cs="Times New Roman"/>
          <w:sz w:val="24"/>
          <w:szCs w:val="24"/>
        </w:rPr>
        <w:t>Дефицит кадров на селе - острая проблема наших сельхозпроизводителей. В 2022 году был принят только 1 специалист – инженер в КФХ Лукьянов О.А.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Общая протяженность автомобильных дорог общего пользования местного значения составляет 600,4 км, при этом 42,01% дорог не отвечает современным нормативным требованиям, Главной причиной такого состояния дорог местного значения </w:t>
      </w:r>
      <w:r w:rsidRPr="00ED0DDB">
        <w:rPr>
          <w:rFonts w:ascii="Times New Roman" w:hAnsi="Times New Roman" w:cs="Times New Roman"/>
          <w:sz w:val="24"/>
          <w:szCs w:val="24"/>
        </w:rPr>
        <w:lastRenderedPageBreak/>
        <w:t xml:space="preserve">послужило отсутствие финансирования в необходимых объемах. За 12 месяцев 2022 года по акцизным сборам поступило 37 898,0 тыс. руб., что составляет 129,4 % от плановых показателей  29280,3 тыс. руб.  на год. 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>Остаток переходящих средств на 2021 год – 12 517,0 тыс. руб. Израсходовано 32 199,3 тыс. руб., в том числе: на содержание дорог – 12 181,4 тыс. руб., ремонт дорог -  19 960,8 тыс. руб., 57,3 тыс. руб. – паспортизация дорог.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 Отремонтировано 11,1 км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орог местного значения. 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 xml:space="preserve">Остаток переходящих средств на 2023 год – 18 215,7  тыс. руб. Прогноз поступления средств от акцизных сборов на 2023 год – 33 444,8 тыс. руб. Необходимо отметить, что за счет поступивших акцизных средств, содержать в нормативном состоянии большую протяженность дорог местного значения района (598,5 км) практически невозможно и необходима финансовая поддержка областного бюджета. </w:t>
      </w:r>
      <w:proofErr w:type="gramEnd"/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В текущем году району было предусмотрено в областном бюджете выделение дополнительных ассигнований на ремонт дорог местного значения в рамках реализации государственной программы «Развитие транспортной системы Нижегородской области», в соответствии с которой был проведен ремонт дорог  на территориях городского поселения «р. п. Пильна»,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Курмышского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Медянского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сельсоветов на общую сумму 20,2 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 xml:space="preserve">млн. руб. при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софинансировании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из местного бюджета в сумме 3,8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 млн. рублей.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По показателю «Доля населения, проживающего в населенных пунктах, не имеющих регулярного автобусного сообщения» наблюдается тенденция к снижению. Снижение обусловлено сокращением численности проживающих в этих населенных пунктах, в виду естественной убыли, численность населения в этих населенных пунктах сократится до 180 чел. в 2025 году. 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Среднемесячная номинальная начисленная заработная плата работников всех, указанных в оценке эффективности, категорий растет. 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0DDB">
        <w:rPr>
          <w:rFonts w:ascii="Times New Roman" w:hAnsi="Times New Roman" w:cs="Times New Roman"/>
          <w:sz w:val="24"/>
          <w:szCs w:val="24"/>
        </w:rPr>
        <w:t>В 2022 году среднемесячная номинальная начисленная заработная плата работников крупных, средних и некоммерческих организаций округа выросла по сравнению с предыдущим годом на 23 % и составила 41123,5 руб. Среднемесячная заработная плата работников муниципальных дошкольных учреждений составила 26712,5 руб. (рост 123% к уровню 2021 года), муниципальных общеобразовательных учреждений –32609,4 руб. (рост 116 %), учителей муниципальных общеобразовательных учреждений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>40066,1 руб. (рост на 12,5 %) работников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 муниципальных учреждений культуры–31948,8  (рост на  10,3%) </w:t>
      </w:r>
    </w:p>
    <w:p w:rsidR="006D3A1B" w:rsidRPr="005B03AF" w:rsidRDefault="006D3A1B" w:rsidP="005B03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3AF">
        <w:rPr>
          <w:rFonts w:ascii="Times New Roman" w:hAnsi="Times New Roman" w:cs="Times New Roman"/>
          <w:b/>
          <w:sz w:val="24"/>
          <w:szCs w:val="24"/>
        </w:rPr>
        <w:t>2. Дошкольное образование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Дошкольное образование является «начальной ступенью» образования, на которой закладываются основы социальной личности и важнейшим институтом поддержки семьи. </w:t>
      </w:r>
      <w:r w:rsidRPr="00ED0DDB">
        <w:rPr>
          <w:rFonts w:ascii="Times New Roman" w:hAnsi="Times New Roman" w:cs="Times New Roman"/>
          <w:sz w:val="24"/>
          <w:szCs w:val="24"/>
        </w:rPr>
        <w:lastRenderedPageBreak/>
        <w:t xml:space="preserve">В систему дошкольного образования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Пильнинского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муниципального округа входит 11 дошкольных образовательных учреждений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>Все учреждения имеют лицензии на право осуществления образовательной деятельности по реализуемым образовательным программам дошкольного образования.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Общая численность дошкольников на 1 января 2023 года, посещающих данные образовательные организации, составляет 550 воспитанников. 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Вопросы, связанные с созданием надлежащих условий пребывания в дошкольных организациях, которые способствуют сохранению и укреплению здоровья воспитанников являются одним из приоритетных направлений работы администраций образовательных организаций и находятся на постоянном контроле управления образования. Во всех образовательных организациях, реализующих программу дошкольного образования, созданы условия, соответствующие противопожарным, санитарным и техническим нормам и правилам, возрастным особенностям дошкольников.  </w:t>
      </w:r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ab/>
        <w:t xml:space="preserve">В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Пильнинском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муниципальном округе нет очереди в дошкольные образовательные учреждения. </w:t>
      </w:r>
    </w:p>
    <w:p w:rsidR="006D3A1B" w:rsidRPr="005B03AF" w:rsidRDefault="006D3A1B" w:rsidP="005B03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3AF">
        <w:rPr>
          <w:rFonts w:ascii="Times New Roman" w:hAnsi="Times New Roman" w:cs="Times New Roman"/>
          <w:b/>
          <w:sz w:val="24"/>
          <w:szCs w:val="24"/>
        </w:rPr>
        <w:t>3. Общее и дополнительное образование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0DDB">
        <w:rPr>
          <w:rFonts w:ascii="Times New Roman" w:hAnsi="Times New Roman" w:cs="Times New Roman"/>
          <w:sz w:val="24"/>
          <w:szCs w:val="24"/>
        </w:rPr>
        <w:t xml:space="preserve">Система образования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Пильнинского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муниципального округа представлена 12 учреждениями общего образования), 2 учреждения дополнительного образования и государственное образовательное учреждение – Агропромышленный техникум.</w:t>
      </w:r>
      <w:proofErr w:type="gramEnd"/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        </w:t>
      </w:r>
      <w:r w:rsidR="005B03AF">
        <w:rPr>
          <w:rFonts w:ascii="Times New Roman" w:hAnsi="Times New Roman" w:cs="Times New Roman"/>
          <w:sz w:val="24"/>
          <w:szCs w:val="24"/>
        </w:rPr>
        <w:tab/>
      </w:r>
      <w:r w:rsidRPr="00ED0DDB">
        <w:rPr>
          <w:rFonts w:ascii="Times New Roman" w:hAnsi="Times New Roman" w:cs="Times New Roman"/>
          <w:sz w:val="24"/>
          <w:szCs w:val="24"/>
        </w:rPr>
        <w:t xml:space="preserve"> На 01.01.2023 г. все образовательные учреждения округа (100%) имеют бессрочную лицензию на 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деятельности. 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Регулярно пополняется и обновляется материально - техническая база образовательных учреждений. 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В 2022 году благодаря участию в областных и федеральных программах на условиях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 удалось сделать серьезный ремонт в ряде учреждений.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В рамках государственной программы  «Капитальный ремонт образовательных организаций Нижегородской области, реализующих общеобразовательные программы на 2019-2024 </w:t>
      </w:r>
      <w:proofErr w:type="spellStart"/>
      <w:proofErr w:type="gramStart"/>
      <w:r w:rsidRPr="00ED0DDB">
        <w:rPr>
          <w:rFonts w:ascii="Times New Roman" w:hAnsi="Times New Roman" w:cs="Times New Roman"/>
          <w:sz w:val="24"/>
          <w:szCs w:val="24"/>
        </w:rPr>
        <w:t>гг</w:t>
      </w:r>
      <w:proofErr w:type="spellEnd"/>
      <w:proofErr w:type="gramEnd"/>
      <w:r w:rsidRPr="00ED0DDB">
        <w:rPr>
          <w:rFonts w:ascii="Times New Roman" w:hAnsi="Times New Roman" w:cs="Times New Roman"/>
          <w:sz w:val="24"/>
          <w:szCs w:val="24"/>
        </w:rPr>
        <w:t>» в соответствии с утвержденным муниципальным планом проведены:</w:t>
      </w:r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- капитальный ремонт электропроводки и фасада здания в МОУ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Курмышская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СШ;</w:t>
      </w:r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 - капитальный ремонт фасада здания в МБДОУ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Петряксинский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детский сад;</w:t>
      </w:r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- капитальное благоустройство территории МОУ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Медянская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СШ;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В рамках муниципальной программы  «Формирование доступной среды инвалидов и маломобильных групп населения в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Пильнинском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муниципальном районе Нижегородской области в МОУ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Медянская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СШ   выполнены работы по созданию условий для получения детьми-инвалидами качественного образования. 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lastRenderedPageBreak/>
        <w:t xml:space="preserve">За счет средств местного бюджета отремонтирован пищеблок в МОУ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Медянская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СШ,  произведен ремонт 2-х входных групп с устройством боковых входов и установкой водосточных систем в МБДОУ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Медянский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детский сад, ремонт площадки здания детского сада и установка теневых навесов в МБДОУ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Пильнинский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детский сад № 1 «Теремок»;</w:t>
      </w:r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>Большое внимание  в районе уделяется вопросам безопасности образовательных учреждений.  В 2021 году проведены мероприятия по приведению объектов образования в соответствии с требованиями пожарной безопасности и антитеррористической защищенности (замена оконных блоков, установка кодовых замков и видеонаблюдения, установка нового ограждения по периметру зданий и др.).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>Важнейшим направлением здоровье сберегающей деятельности является обеспечение школьников полноценным, сбалансированным и качественным питанием. С сентября 2020 года организовано бесплатное питание для обучающихся начальных классов  (750 человека в 2022 году). Также   организовано 2-х разовое бесплатное питание для   детей с ОВЗ, занимающихся по адаптированным программам (101 человек). Всего горячим питанием охвачено  92%  школьников.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Ежегодно обновляется парк школьных автобусов для осуществления подвоза обучающихся.  В 2022  году  получены 3 автобуса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ГАЗель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 -  в МБОУ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Пильнинская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СШ №2, МБОУ «Содружество» и Детско – юношеский центр. Подвозом 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>охвачены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 322 обучающихся из 35 населенных пунктов. В округе 16 единиц транспорта.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>Продолжается  активная реализация национального проекта «Образование».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В 2022 году в рамках федерального проекта «Современная школа» национального проекта «Образование» созданы центры образования 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 и технологической направленностей «Точка роста» на базе МБОУ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Пильнинская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СШ №2, МОУ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Бортсурманская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СШ, МОУ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Столбищенская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СШ и МОУ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Петряксинская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СШ. На данный момент Точки роста имеются в 8 школах округа.</w:t>
      </w:r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>Создание таких центров способствует расширению возможностей обучающихся в освоении учебных предметов естественно-научной и технологической направленностей, для практической отработки учебного материала по предметам «физика», «химия», «биология».</w:t>
      </w:r>
      <w:proofErr w:type="gramEnd"/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Также в рамках национального проекта «Образование» в 2022 году продолжилось внедрение целевой модели цифровой образовательной среды (ЦОС), предполагающей создание современной и безопасной работы с цифровыми ресурсами. В ходе реализации проекта оснащены современным  компьютерным, мультимедийным и презентационным оборудованием  3 кабинета в МОУ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Петряксинская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СШ. 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lastRenderedPageBreak/>
        <w:t xml:space="preserve">В связи с открытием новой школы на 500 мест в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. Пильна с ноября 2022 года все обучающиеся общеобразовательных учреждений занимаются в первую смену. По  отчету  ОО 1 – 175 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 обучаются во вторую смену (отчет составлялся в октябре 2022 года).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>Важнейшим показателем качественного образования являются результаты государственной итоговой аттестации. Так на протяжении последних лет в районе отсутствуют выпускники, не получившие аттестат об основном общем образовании. Все выпускники 11-х классов преодолели минимальный порог по ЕГЭ.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 в 2022 году составила 83,85%  (2021 год - 83,52%).  Здание МОО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Красногорская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СШ  требует капитального ремонта (степень износа  - 53%). Подготовлена проектно – сметная документация  (проходит государственную экспертизу) для участия в отборе объекта в части выполнения работ по капитальному ремонту зданий общеобразовательных организаций на 2024- 2026 годы в рамках реализации мероприятия по модернизации школьных систем образования в рамках государственной программы Российской Федерации «Развитие образования».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Доля детей первой и второй групп здоровья в общей 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>численности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 обучающихся в муниципальных общеобразовательных учреждениях  - 87,77% (2021 – 82.00%).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>Доля детей, получающих услуги по дополнительному образованию возраста 5-18 лет, в общей численности 2580 по данным статистики, составляет 85,31%., что в сравнении с  показателем 78,54% за 2021г.,  больше на 6,77%.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>В системе образования показатель охвата дополнительным образованием, рассчитывается относительно возрастных статистических данных 5-17лет, в общей численности 2419 детей и молодежи в 2022году.</w:t>
      </w:r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 </w:t>
      </w:r>
      <w:r w:rsidR="005B03AF">
        <w:rPr>
          <w:rFonts w:ascii="Times New Roman" w:hAnsi="Times New Roman" w:cs="Times New Roman"/>
          <w:sz w:val="24"/>
          <w:szCs w:val="24"/>
        </w:rPr>
        <w:tab/>
      </w:r>
      <w:r w:rsidRPr="00ED0DDB">
        <w:rPr>
          <w:rFonts w:ascii="Times New Roman" w:hAnsi="Times New Roman" w:cs="Times New Roman"/>
          <w:sz w:val="24"/>
          <w:szCs w:val="24"/>
        </w:rPr>
        <w:t xml:space="preserve">По данным Навигатора дополнительного образования доля детей, получающих услуги по дополнительному образованию, составила 90,7%, что на 12,39 % выше показателя 78,31 % по результатам 2021 года, и  на 13,7 % превышает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среднеобластной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показатель 77% охвата дополнительным образованием в 2021году.  </w:t>
      </w:r>
    </w:p>
    <w:p w:rsidR="006D3A1B" w:rsidRPr="005B03AF" w:rsidRDefault="006D3A1B" w:rsidP="005B03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3AF">
        <w:rPr>
          <w:rFonts w:ascii="Times New Roman" w:hAnsi="Times New Roman" w:cs="Times New Roman"/>
          <w:b/>
          <w:sz w:val="24"/>
          <w:szCs w:val="24"/>
        </w:rPr>
        <w:t>4. Культура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0DDB">
        <w:rPr>
          <w:rFonts w:ascii="Times New Roman" w:hAnsi="Times New Roman" w:cs="Times New Roman"/>
          <w:sz w:val="24"/>
          <w:szCs w:val="24"/>
        </w:rPr>
        <w:t xml:space="preserve">Сеть учреждений  культуры округа включает: 4 учреждения, имеющих статус юридического лица (МУК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Пильнинский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культурно-досуговый центр, МУК «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Пильнинская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централизованная библиотечная система»,  17  сельских  библиотечных  филиалов),  МБУ ДО «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Пильнинская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ДШИ им.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С.М.Ляпунова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>»,  МУК «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Пильнинский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районный краеведческий музей», имеющие статус юридических лиц и  осуществляющие  свою  </w:t>
      </w:r>
      <w:r w:rsidRPr="00ED0DDB">
        <w:rPr>
          <w:rFonts w:ascii="Times New Roman" w:hAnsi="Times New Roman" w:cs="Times New Roman"/>
          <w:sz w:val="24"/>
          <w:szCs w:val="24"/>
        </w:rPr>
        <w:lastRenderedPageBreak/>
        <w:t>деятельность  на  уровне  муниципального  округа, а также 24 сельских клубных учреждений культуры, осуществляющих свою деятельность на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>уровне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 поселений.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Пильнинский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округ -  многонациональный район области. У нас проживают: русские, татары, мордва и другие национальности. У нас 8 национальных сёл: 4 татарских и 4 мордовских. 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>Год культурного наследия был открыт 6 марта  Масленичным гулянием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13 августа делегация из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Пильнинского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района приняла участие в областном «Сабантуе-2022», который проходил в парке «Швейцария» в Нижнем Новгороде. Испокон веков «Сабантуй» объединяет людей всех национальностей, всех вероисповеданий. Он несет в себе дружбу народов, взаимоуважение, обмен культурой.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D0DDB">
        <w:rPr>
          <w:rFonts w:ascii="Times New Roman" w:hAnsi="Times New Roman" w:cs="Times New Roman"/>
          <w:sz w:val="24"/>
          <w:szCs w:val="24"/>
        </w:rPr>
        <w:t>Пильнинский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округ непременный участник всех областных и межрайонных мероприятий по сохранению национальной татарской культуры. 3 ноября в МУК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Пильнинский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КДЦ состоялся фестиваль-конкурс хоровых коллективов «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Пильнинский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район – поющий край», который в этом году проходил в рамках мобилизационного проекта партии «Единая Россия» «Россия – мы дети твои» и был посвящен Году культурного наследия народов России и Дню народного единства.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 Участниками конкурса стали 12 хоровых коллективов сельских домов культуры, из 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 два хора были сводными. 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Фестиваль-конкурс хоровых коллективов давно стал одной из визитных карточек нашего округа, его любят и ждут, и полный зрительный зал лучшее тому доказательство. В этом году мы проводили его в канун такого важного праздника, как День народного единства. Сейчас, когда наша страна вновь сражается с врагом, мы здесь и сейчас объединяемся общим чувством патриотизма, выраженного в изучении истории, почитании своих корней и традиций. 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Особая роль в работе учреждений культуры отводится военно-патриотическому воспитанию. В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Пильнинском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муниципальном округе осталось три ветерана Великой Отечественной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войны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>ень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Победы – это главный праздник для нашего народа. В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>. Пильна  на ул. Калинина собрался «Бессмертный полк», а в это же время на Вокзальную площадь приехали автолюбители, чтобы принять участие в праздничном автопробеге. И вот двинулась колонна «Бессмертного полка», где внуки и правнуки гордо несли портреты ПОБЕДИТЕЛЕЙ. А в это же время по улицам Пильны отправился автопробег со знаменами, который многие встречали со слезами. В парке 40 лет Октября,  работали мастер-классы и фотозоны. У гостей праздника была возможность посетить самую настоящую «Партизанскую деревню». Здесь разместилась медсанчасть, работала полевая кухня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 можно было заглянуть в штаб , написать настоящей перьевой ручкой письмо </w:t>
      </w:r>
      <w:r w:rsidRPr="00ED0DDB">
        <w:rPr>
          <w:rFonts w:ascii="Times New Roman" w:hAnsi="Times New Roman" w:cs="Times New Roman"/>
          <w:sz w:val="24"/>
          <w:szCs w:val="24"/>
        </w:rPr>
        <w:lastRenderedPageBreak/>
        <w:t xml:space="preserve">солдату ,всем вместе нарисовать картину по номерам. Праздничный концерт стал большой совместной работой, к сотрудникам МУК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Пильнинский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КДЦ присоединились талантливые жители поселка.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Во всех сельских администрациях проведены митинги у памятников и обелисков погибшим в годы Отечественной войны, праздничные чаепития для ветеранов, вдов и детей войны.  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Традиционно проведены торжественные мероприятия ко Дню пограничника «У погранзаставы», ко Дню военно-морского флота подготовлена концертная программа «Флоту России – слава», «Крылатая пехота» ко дню воздушно-десантных войск. Минутой молчания почтили память заслуженного ветерана Нижегородской области, Почетного ветерана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Пильнинского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округа В.М.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Лачугина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>, кавалера Ордена Мужества И.А. Вишневского и всех тех, кто уже никогда больше не встанет в один строй с друзьями и сослуживцами.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Уже многие годы в ЦБС воплощается в жизнь проект «Пока мы помним, они живы» (сбор документов для составления второго тома Книги Памяти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Пильнинского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района), в котором аккумулируются сведения о наших земляках,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пильнинцах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, участниках Великой Отечественной войны, умерших в послевоенные годы. </w:t>
      </w:r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  </w:t>
      </w:r>
      <w:r w:rsidRPr="00ED0DDB">
        <w:rPr>
          <w:rFonts w:ascii="Times New Roman" w:hAnsi="Times New Roman" w:cs="Times New Roman"/>
          <w:sz w:val="24"/>
          <w:szCs w:val="24"/>
        </w:rPr>
        <w:tab/>
        <w:t>В ноябре 2021 года стартовал новый проект, в целях исполнения поручения Президента Российской Федерации, о создании электронной «Книги Памяти».</w:t>
      </w:r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  </w:t>
      </w:r>
      <w:r w:rsidRPr="00ED0DDB">
        <w:rPr>
          <w:rFonts w:ascii="Times New Roman" w:hAnsi="Times New Roman" w:cs="Times New Roman"/>
          <w:sz w:val="24"/>
          <w:szCs w:val="24"/>
        </w:rPr>
        <w:tab/>
        <w:t xml:space="preserve">В течение 2022 года ЦБС совместно с библиотекарями района велась работа по сбору информации для создания электронных Книг Памяти сёл и увековечивании памяти максимального количества участников Великой Отечественной войны 1941-1945 годов. Задача проекта не просто сохранить каждое имя, но и найти живое отражение задокументированных событий военных лет, – боевых операций, подвигов, награждений, – в личных рассказах и семейных историях.   </w:t>
      </w:r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>Брендовые мероприятия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>- Соревнования по подлёдному лову рыбы «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Пильнинский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ёрш – 2022 г», которые в 2022 году проводились в 11 –й раз и были приурочены 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 Дню защитника Отечества.  В состязание на льду р. Пьяна  вступили 44 любителя рыбалки, среди которых были как новички, так и профессионалы. </w:t>
      </w:r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>- Межрайонный молодёжный туристический слёт «Южный полюс – 2022»</w:t>
      </w:r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Проводился 9-10 июля  под д.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Шахово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на слиянии двух рек – Сура и Пьяна при поддержке депутатов Законодательного собрания Нижегородской области В.Б.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Аксиньина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и В.А. Антипова.</w:t>
      </w:r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lastRenderedPageBreak/>
        <w:t xml:space="preserve">Все конкурсные номинации были приближены к тем, которые проходят на областном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турслёте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, «Южный полюс» в этом году вышел на профессиональный уровень. </w:t>
      </w:r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- Торжественное мероприятие «Моё село – ты песня и легенда», посвященное 650-летию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Курмыша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 состоялось 20 августа и стало самым важным и массовым  в работе учреждений культуры, так как подготовка к нему началась еще в январе. При создании исторической реконструкции использовались консультации научного сотрудника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Пильнинского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краеведческого музея Ф.И.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Лигановой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На площадке у дома культуры  раскинулись мастер-классы от умельцев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пильнинской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земли. Зрителей порадовал своим выступлением Нижегородский русский народный оркестр им.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В.А.Кузнецова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. Красивая, чарующая музыка полилась над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курмышской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землей, заставляя почувствовать – вот он – настоящий праздник.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Работники культуры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Пильнинского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округа совместно с жителями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Курмыша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пролистали страницы былого: вот перед нами основатель крепости – князь Борис Константинович Городецкий, вот заступают на службу стрельцы, их сменяет грозный Пугачев, а следом Екатерина Вторая дарует городу герб. Открываются народные училища, сметает старый строй революция, появляются колхозы и тут все рушит война, и снова мирная жизнь, 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>появляются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 училище для будущих работников села - механизаторов и комбайнеров, пионерский лагерь. А завершается картинка хлебом-солью от работников дома-интерната, ведь для многих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Курмыш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стал настоящим приютом милосердия и доброты.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>Картинки быстро сменяли друг друга, но всему этому предшествовала долгая, серьёзная, кропотливая работа, с учетом исторического материала. Большая организационная работа проведена оргкомитетом.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>Красочным вышел и весь концерт, на который собрались хоровые коллективы района с лучшими номерами, здесь во всей красе была представлена русская, мордовская и татарская культуры.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Музеем в 2022 проведено 30 выставок, 20 из которых 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>открыты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 в отчетном году. За отчетный год музей пополнил фонды ОФ- 54 предмета, НВФ- 29 предмета и на 01.01.23. они составляют:  ОФ- 2352 предмета, НВФ-904 предметов. Оцифровано ОФ- 211 предметов и НВФ-151 предметов. Посещаемость музея: 12938 (2021 г.- 8389) человек. Проведено экскурсий в музее – 632 (2021 г.-597). 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>Выездных экскурсий проведено 27 (2021- 14).3 человека в 2022 году прошли повышение квалификации в национальном проекте «Творческие люди» в Казанском и Санкт-Петербургском государственных институтах культуры.</w:t>
      </w:r>
      <w:proofErr w:type="gramEnd"/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lastRenderedPageBreak/>
        <w:t>В МБУДО «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Пильнинская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ДШИ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им.С.М.Ляпунова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» обучается 148 человек детей в возрасте от 4-х до 16 лет на отделениях фортепиано-15 человек, народных инструментов-24 человека, академического вокала-13 человек, изобразительного искусства-68 человек, раннего эстетического образования-28 человек. 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В школе реализуются общеразвивающие и предпрофессиональные программы. 71 учащихся обучаются по общеразвивающим программам, 77 – по предпрофессиональным. </w:t>
      </w:r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2022 год был насыщен рядом важных и значимых 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 как для библиотек, так и  для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Пильнинского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муниципального округа. </w:t>
      </w:r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 </w:t>
      </w:r>
      <w:r w:rsidRPr="00ED0DDB">
        <w:rPr>
          <w:rFonts w:ascii="Times New Roman" w:hAnsi="Times New Roman" w:cs="Times New Roman"/>
          <w:sz w:val="24"/>
          <w:szCs w:val="24"/>
        </w:rPr>
        <w:tab/>
        <w:t xml:space="preserve">Создание  электронной Книги Памяти - по поручению Президента Российской Федерации  к 80-летию Победы в Великой Отечественной войне. Библиотеками  проводится  большая  поисковая, аналитическая работа  в сборе дополнительных сведений, документов   об участниках   войны.  </w:t>
      </w:r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Создаётся база данных для второго тома Книги Памяти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Пильнинского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района  по участникам  войны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 умерших в послевоенные годы. База данных размещена  на сайте Библиотек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 Пильна . Книгу планируется  выпустить  к юбилею Победы. </w:t>
      </w:r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>Проект оказался успешным для  библиотек МУК «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Пильнинская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районная  ЦБС»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Модельная  библиотека  – площадка для творческой реализации молодёжи, стала участником национального проекта «Гений места». </w:t>
      </w:r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 </w:t>
      </w:r>
      <w:r w:rsidRPr="00ED0DDB">
        <w:rPr>
          <w:rFonts w:ascii="Times New Roman" w:hAnsi="Times New Roman" w:cs="Times New Roman"/>
          <w:sz w:val="24"/>
          <w:szCs w:val="24"/>
        </w:rPr>
        <w:tab/>
        <w:t xml:space="preserve">Всего читателей – 11774, в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>. молодёжи -1614 .    Всего было проведено – 1400 массовых мероприятий, на которых присутствовало 51671 человек. Процент обслуживания – 64%.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По проекту «Культура малой Родины» выделена субсидия из федерального и областного  бюджетов на обеспечение развития и укрепления материально-технической базы муниципальных домов культуры в населенных пунктах с числом жителей до 50 тысяч человек. Размер субсидии, предоставляемой из бюджета Нижегородской области, составил 1101000руб. Укреплена материально-техническая база МУК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Пильнинского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РКДЦ, Красногорского СДК,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Петряксинского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СДК,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Столбищенского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СДК,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Деяновского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СДК,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Языковского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СДК,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Медянского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СДК,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Старомочалеевского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СДК приобретено новое музыкальное оборудование. 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Деяновская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сельская библиотека стала победителем в областном конкурсе на лучшее учреждение культуры Нижегородской области, находящееся на территории сельских поселений на 2023 год.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>Участие всех учреждений культуры (юридические лица) в проекте Министерства  культуры Российской Федерации «Пушкинская карта». В прое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>кт вст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упили в сентябре 2022г.  Достижением  проекта  стало  межмуниципальное  взаимодействие  в  целях   </w:t>
      </w:r>
      <w:r w:rsidRPr="00ED0DDB">
        <w:rPr>
          <w:rFonts w:ascii="Times New Roman" w:hAnsi="Times New Roman" w:cs="Times New Roman"/>
          <w:sz w:val="24"/>
          <w:szCs w:val="24"/>
        </w:rPr>
        <w:lastRenderedPageBreak/>
        <w:t>организации  посещений  участниками программы «Пушкинская карта»  учреждений  культуры  соседних муниципальных образований и привлечение Нижегородских театров в наш округ</w:t>
      </w:r>
    </w:p>
    <w:p w:rsidR="006D3A1B" w:rsidRPr="005B03AF" w:rsidRDefault="006D3A1B" w:rsidP="005B03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3AF">
        <w:rPr>
          <w:rFonts w:ascii="Times New Roman" w:hAnsi="Times New Roman" w:cs="Times New Roman"/>
          <w:b/>
          <w:sz w:val="24"/>
          <w:szCs w:val="24"/>
        </w:rPr>
        <w:t>5. Физическая культура и спорт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Доля 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>населения, систематически занимающегося физической культурой и спортом в 2022 году составила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 48,18 %. (2021 45,11 %). В округе функционирует 45 спортивных сооружения из них: 16 спортивных зала, 17 плоскостных сооружений (4 хоккейных коробки, 8 футбольных полей, 6 волейбольных и баскетбольных площадки) 4 тренажерных зала, 2 площадки с тренажерами, 3 тира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>В сельских администрациях ведется строительство простейших спортивных площадок (волейбольные, футбольные).</w:t>
      </w:r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 </w:t>
      </w:r>
      <w:r w:rsidRPr="00ED0DDB">
        <w:rPr>
          <w:rFonts w:ascii="Times New Roman" w:hAnsi="Times New Roman" w:cs="Times New Roman"/>
          <w:sz w:val="24"/>
          <w:szCs w:val="24"/>
        </w:rPr>
        <w:tab/>
        <w:t xml:space="preserve">В целях пропаганды и развития физической культуры и спорта в округе проводиться более 87 спортивных мероприятий. Лыжные и легкоатлетические соревнования, баскетбол, волейбол, футбол, хоккей, вольная и борьба на поясах, шашки и шахматы,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армспорт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и силовое троеборье, гиревой спорт, настольный теннис, выполнение нормативов ВФСК ГТО - вот неполный перечень культивируемых в округе видов спорта. </w:t>
      </w:r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>В прогнозном периоде за счет традиционно проводимых спортивных мероприятий, улучшения материально-технической базы спортивных учреждений, совершенствования форм организации ожидается, что численность населения, занимающихся физической культурой и спортом, к 2025 году достигнет 8,3 тыс. человек (55,7 % от среднегодовой численности населения).</w:t>
      </w:r>
    </w:p>
    <w:p w:rsidR="006D3A1B" w:rsidRPr="005B03AF" w:rsidRDefault="006D3A1B" w:rsidP="005B03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3AF">
        <w:rPr>
          <w:rFonts w:ascii="Times New Roman" w:hAnsi="Times New Roman" w:cs="Times New Roman"/>
          <w:b/>
          <w:sz w:val="24"/>
          <w:szCs w:val="24"/>
        </w:rPr>
        <w:t>6. Жилищное строительство и обеспечение граждан жильем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>В течение 2022 года введено в эксплуатацию общей жилой площади 6472 кв. м (в 2021 году – 10502 кв. м), в том числе:</w:t>
      </w:r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 xml:space="preserve">В 2022 году общая площадь жилых помещений, введенная в действие за год приходящихся в среднем на 1 жителя, составила 0,35 кв. м. </w:t>
      </w:r>
      <w:proofErr w:type="gramEnd"/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Площадь 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>земельных участков, предоставленных для строительства в 2022 году составила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 0,25 га 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0DDB">
        <w:rPr>
          <w:rFonts w:ascii="Times New Roman" w:hAnsi="Times New Roman" w:cs="Times New Roman"/>
          <w:sz w:val="24"/>
          <w:szCs w:val="24"/>
        </w:rPr>
        <w:t>В рамках реализации подпрограммы «Выполнение государственных обязательств по обеспечению жильем отдельных категорий граждан, установленных законодательством Нижегородской области» за счет средств федерального и областного бюджетов (всего– 17 249 550,00 рублей, из них федеральные – 8 736 025,20,00 рублей; областные – 8 513 524,80 рублей) в 2022 году приобретены в муниципальную собственность 8 жилых помещений.</w:t>
      </w:r>
      <w:proofErr w:type="gramEnd"/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В рамках реализации подпрограммы «Обеспечение жильем молодых семей в Нижегородской области» на территории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Пильнинского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округа социальную выплату на приобретение (строительство) жилого помещения получила 1 молодая семья. Общий </w:t>
      </w:r>
      <w:r w:rsidRPr="00ED0DDB">
        <w:rPr>
          <w:rFonts w:ascii="Times New Roman" w:hAnsi="Times New Roman" w:cs="Times New Roman"/>
          <w:sz w:val="24"/>
          <w:szCs w:val="24"/>
        </w:rPr>
        <w:lastRenderedPageBreak/>
        <w:t xml:space="preserve">размер социальной выплаты составил 2 190 018,60 рублей, в том числе средства федерального бюджета – 467 300,51 рублей, областного 1 378174,48 рублей, местного –344 543,61  рублей. 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0DDB">
        <w:rPr>
          <w:rFonts w:ascii="Times New Roman" w:hAnsi="Times New Roman" w:cs="Times New Roman"/>
          <w:sz w:val="24"/>
          <w:szCs w:val="24"/>
        </w:rPr>
        <w:t xml:space="preserve">В 2022 году не предоставлялись единовременные денежные выплаты на приобретение (строительство) жилых помещений участникам (инвалидам) Великой Отечественной войны в соответствии с Федеральным законом от 12 января 1995 года №5-ФЗ «О ветеранах» и в целях исполнения Указа Президента РФ от 7 мая 2008 года № 714 «Об обеспечении жильем ветеранов Великой Отечественной войны 1941-1945 годов», в связи с отсутствием в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Пильнинском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муниципальном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 округе участников (инвалидов) Великой Отечественной войны, нуждающихся в жилых помещениях.</w:t>
      </w:r>
    </w:p>
    <w:p w:rsidR="005B03AF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>В соответствии с постановлением Правительства Нижегородской области от 23 марта 2007 г.  № 86 «Об утверждении Порядка предоставления материальной помощи гражданам, находящимся в трудной жизненной ситуации, в виде денежных средств» была предоставлена:</w:t>
      </w:r>
      <w:r w:rsidR="005B03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03AF" w:rsidRDefault="005B03AF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6D3A1B" w:rsidRPr="00ED0DDB">
        <w:rPr>
          <w:rFonts w:ascii="Times New Roman" w:hAnsi="Times New Roman" w:cs="Times New Roman"/>
          <w:sz w:val="24"/>
          <w:szCs w:val="24"/>
        </w:rPr>
        <w:t>атериальная помощь на ремонт и восстановление  жилого помещения 4 гражданам. Размер предоставленной материальной помощи за счет средств местного бюджета составил 151 449,30 рублей;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3A1B" w:rsidRPr="00ED0DDB" w:rsidRDefault="005B03AF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6D3A1B" w:rsidRPr="00ED0DDB">
        <w:rPr>
          <w:rFonts w:ascii="Times New Roman" w:hAnsi="Times New Roman" w:cs="Times New Roman"/>
          <w:sz w:val="24"/>
          <w:szCs w:val="24"/>
        </w:rPr>
        <w:t xml:space="preserve">атериальная помощь гражданам </w:t>
      </w:r>
      <w:proofErr w:type="spellStart"/>
      <w:r w:rsidR="006D3A1B" w:rsidRPr="00ED0DDB">
        <w:rPr>
          <w:rFonts w:ascii="Times New Roman" w:hAnsi="Times New Roman" w:cs="Times New Roman"/>
          <w:sz w:val="24"/>
          <w:szCs w:val="24"/>
        </w:rPr>
        <w:t>Пильнинского</w:t>
      </w:r>
      <w:proofErr w:type="spellEnd"/>
      <w:r w:rsidR="006D3A1B" w:rsidRPr="00ED0DDB">
        <w:rPr>
          <w:rFonts w:ascii="Times New Roman" w:hAnsi="Times New Roman" w:cs="Times New Roman"/>
          <w:sz w:val="24"/>
          <w:szCs w:val="24"/>
        </w:rPr>
        <w:t xml:space="preserve"> округа, находящимся в трудной жизненной ситуации в размере 20 000,00 рублей.</w:t>
      </w:r>
    </w:p>
    <w:p w:rsidR="006D3A1B" w:rsidRPr="00ED0DDB" w:rsidRDefault="005B03AF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6D3A1B" w:rsidRPr="00ED0DDB">
        <w:rPr>
          <w:rFonts w:ascii="Times New Roman" w:hAnsi="Times New Roman" w:cs="Times New Roman"/>
          <w:sz w:val="24"/>
          <w:szCs w:val="24"/>
        </w:rPr>
        <w:t>атериальная помощь на приобретение жилого помещения в связи с отсутствием жилья и достаточных средств на его приобретение в размере 75 000,00 рублей;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>Всего за счет местного бюджета в 2022 году предоставлена материальная помощь в размере: 246 449,30 рублей.</w:t>
      </w:r>
    </w:p>
    <w:p w:rsidR="006D3A1B" w:rsidRPr="005B03AF" w:rsidRDefault="006D3A1B" w:rsidP="005B03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3AF">
        <w:rPr>
          <w:rFonts w:ascii="Times New Roman" w:hAnsi="Times New Roman" w:cs="Times New Roman"/>
          <w:b/>
          <w:sz w:val="24"/>
          <w:szCs w:val="24"/>
        </w:rPr>
        <w:t>7. Жилищно-коммунальное хозяйство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>В 2022 году доля многоквартирных домов, в которых собственники помещения выбрали или реализуют один способ управления многоквартирными домами в общем числе многоквартирных домов остался на уровне прошлого года и составляет 100%. к 2025 году ожидается сохранение структуры управления многоквартирными домами.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>Организаций коммунального комплекса, осуществляющих производство товаров, оказание услуг по водо-, тепл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, газо-, электроснабжению, водоотведению,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 на территории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Пильнинского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муниципального округа нет 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Число многоквартирных домов, расположенных на земельных участках, в отношении которых осуществлен государственный кадастровый учет, по итогам 2022 года </w:t>
      </w:r>
      <w:r w:rsidRPr="00ED0DDB">
        <w:rPr>
          <w:rFonts w:ascii="Times New Roman" w:hAnsi="Times New Roman" w:cs="Times New Roman"/>
          <w:sz w:val="24"/>
          <w:szCs w:val="24"/>
        </w:rPr>
        <w:lastRenderedPageBreak/>
        <w:t>составило 166 или 26,64 % от общего количества многоквартирных домов. В прогнозном периоде планируется продолжить процедуру по межеванию земельных участков под многоквартирными жилыми домами.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>В 2022 году число граждан, улучшивших жилищные условия, составило 63 человека (всего 23 семьи).</w:t>
      </w:r>
    </w:p>
    <w:p w:rsidR="006D3A1B" w:rsidRPr="005B03AF" w:rsidRDefault="006D3A1B" w:rsidP="005B03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3AF">
        <w:rPr>
          <w:rFonts w:ascii="Times New Roman" w:hAnsi="Times New Roman" w:cs="Times New Roman"/>
          <w:b/>
          <w:sz w:val="24"/>
          <w:szCs w:val="24"/>
        </w:rPr>
        <w:t>8. Организация муниципального управления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На протяжении ряда лет 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Пильнинский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округ является финансово дотационным – доходы, собранные на территории округа в областной консолидированный бюджет, не превышают собственные расходы бюджета округа.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Доля налоговых и неналоговых доходов местного бюджета округа в общем объеме собственных доходов бюджета сократилось к уровню 2021 года на 6,62 </w:t>
      </w:r>
      <w:proofErr w:type="spellStart"/>
      <w:proofErr w:type="gramStart"/>
      <w:r w:rsidRPr="00ED0DDB">
        <w:rPr>
          <w:rFonts w:ascii="Times New Roman" w:hAnsi="Times New Roman" w:cs="Times New Roman"/>
          <w:sz w:val="24"/>
          <w:szCs w:val="24"/>
        </w:rPr>
        <w:t>пп</w:t>
      </w:r>
      <w:proofErr w:type="spellEnd"/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 и составила 19,64 %. Изменение удельного веса налоговых и неналоговых доходов местного бюджета (за исключением поступлений налоговых доходов по дополнительным нормативам отчислений, возвратов остатков субсидий, субвенций и иных межбюджетных трансфертов, имеющих целевое назначение) связано с изменениями поступлений налоговых и не налоговых поступлений и безвозмездных поступлений из вышестоящих бюджетов.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>Резкое увеличение общего объема собственных доходов бюджета (без учета субвенций) в 2022 году обусловлено увеличением объема субсидий и перевыполнения плана налоговых и неналоговых доходов.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>В 2022 году отсутствует доля основных фондов организаций муниципальной формы собственности, находящихся в стадии банкротства, в основных фондах организации (на конец года по полной учетной стоимости).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>Просроченной кредиторской задолженности по оплате труда в округе нет на протяжении ряда лет.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>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 в 2022 году составили 4800 руб. до 2024 года наблюдается динамика увеличения данного показателя до 5309 руб.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Увеличение расходов на содержание работников органов местного самоуправления в 2022 году связано с увеличением размера МРОТ, а также связан с индексацией размеров ежемесячного денежного вознаграждения по муниципальным должностям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Пильнинского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муниципального округа и размеров окладов денежного содержания муниципальных служащих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Пильнинского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муниципального округа. 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lastRenderedPageBreak/>
        <w:t>Демографическая ситуация в округе отражает общероссийские тенденции – численность населения продолжает снижаться. Численность населения округа на 1 января 2023 года по данным статистики составила 18307 человек.</w:t>
      </w:r>
    </w:p>
    <w:p w:rsidR="006D3A1B" w:rsidRPr="005B03AF" w:rsidRDefault="006D3A1B" w:rsidP="005B03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3AF">
        <w:rPr>
          <w:rFonts w:ascii="Times New Roman" w:hAnsi="Times New Roman" w:cs="Times New Roman"/>
          <w:b/>
          <w:sz w:val="24"/>
          <w:szCs w:val="24"/>
        </w:rPr>
        <w:t>9. Энергосбережение и повышение энергетической эффективности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Одним из основных приоритетов жилищной политики в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Пильнинском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округе являются обеспечение комфортных условий проживания, доступность коммунальных услуг для населения, оплата за фактическое потребление коммунальных ресурсов (тепловой, электрической энергии, горячей и холодной воды). 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>В 2022 году удельная величина потребления энергетических ресурсов в многоквартирных жилых домах составила: электрическая энергия – 876,65 кВт*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 на 1 проживающего (102,8 % к уровню 2021 года), холодная вода – 25 м3 на 1 проживающего, природный газ –1582,7 м3 на 1 проживающего (97 % к уровню 2021 года) </w:t>
      </w:r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  Важной частью затрат бюджетных услуг являются затраты на энергоресурсы, стоимость которых ежегодно растет. Удельная величина потребления энергетических ресурсов муниципальными бюджетными учреждениями в 2022 году составила: электрическая энергия – 130,48 кВт*ч на 1 жителя (101,4 % к уровню 2021 года), холодная вода – 1,19 м3 на 1 жителя (76 % к уровню 2021 года), природный газ – 97,78 м3 на 1 жителя (107,9 % к уровню 2021 года)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епловая энергия – 0,15 Гкал на 1м 2 общей площади (0,90% к уровню 2021 года). 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Оценка качества условий оказания услуг муниципальными 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>организациями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 расположенными на территории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Пильнинского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муниципального округа в 2022 году проводились в сфере образования и культуры.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Значение 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>показателя независимой оценки качества оказания услуг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 образовательными организациями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Пильнинского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муниципального района (далее-НОКО) по муниципалитету в 2022 году  составляет 79,30 %.  По сравнению с 2021 годом (82%) показатель уменьшился. На протяжении трех лет этот показатель находится в пределах 80 %. В районе 25 образовательных организаций. В течение 3 лет, в соответствии с законом, все проходят процедуру независимой 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>оценки качества условий осуществления образовательной деятельности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. Это по 8 образовательных организаций в год.  В 2021 году  из 8 образовательных организаций пять   находились в зоне условно  «отлично» (баллы больше 80%), а в зоне условно «хорошо» 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ри (баллы от 70% до 80%).  В 2022 году три находились в зоне условно  «отлично», а в зоне условно «хорошо» - пять. Поэтому процент стал ниже.  </w:t>
      </w:r>
    </w:p>
    <w:p w:rsidR="006D3A1B" w:rsidRPr="00ED0DDB" w:rsidRDefault="006D3A1B" w:rsidP="005B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Основные недостатки связаны с созданием условий  доступности, позволяющих инвалидам получать услуги наравне с другими. 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 xml:space="preserve">К числу основных выявленных </w:t>
      </w:r>
      <w:r w:rsidRPr="00ED0DDB">
        <w:rPr>
          <w:rFonts w:ascii="Times New Roman" w:hAnsi="Times New Roman" w:cs="Times New Roman"/>
          <w:sz w:val="24"/>
          <w:szCs w:val="24"/>
        </w:rPr>
        <w:lastRenderedPageBreak/>
        <w:t>недостатков можно отнести отсутствие следующих условий: наличие и понятность навигации внутри организации; оборудование входных групп пандусами (подъемными платформами); наличие выделенных стоянок для автотранспортных средств инвалидов; наличие адаптированных лифтов, поручней, расширенных дверных проемов; наличие сменных кресел-колясок; наличие специально оборудованных санитарно-гигиенических помещений в организации; оборудование входных групп пандусами (подъемными платформами);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Брайля, предоставление услуг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); возможность предоставления услуг в дистанционном режиме или на дому. Но так как на 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 закрепленной за образовательной организацией нет инвалидов колясочников, нет инвалидов по слуху и зрению, то создание условий не требует срочного исполнения.  Создание условий доступности для инвалидов осуществляется постепенно. Ежегодно образовательные организации вступают в программу «Доступная среда». Эти  образовательные организации набирают больше баллов. И от подбора этих организаций в течение трех лет зависит  средний показатель НОКО по муниципалитету. Поэтому с небольшим колебанием процент держится около 80%.</w:t>
      </w:r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организация, набравшая наибольшее количество баллов-МОУ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Петряксинская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СШ - 86,02. Образовательная организация, набравшая наименьшее  количество баллов - МБДОУ Мальцевский Детский Сад -72,00.</w:t>
      </w:r>
    </w:p>
    <w:p w:rsidR="006D3A1B" w:rsidRPr="00ED0DDB" w:rsidRDefault="006D3A1B" w:rsidP="005B03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>Основные проблемы, выявленные в ходе анализа эффективности деятельности ОМСУ</w:t>
      </w:r>
    </w:p>
    <w:p w:rsidR="006D3A1B" w:rsidRPr="00ED0DDB" w:rsidRDefault="006D3A1B" w:rsidP="005B03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>округа по итогам отчетного года и меры, направленные на их решение.</w:t>
      </w:r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По итогам проведенного 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>анализа оценки эффективности деятельности органов местного самоуправления округа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 в 2022 году по большинству показателей отмечена положительная динамика, однако имеет место и ряд негативных тенденций: </w:t>
      </w:r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>1.</w:t>
      </w:r>
      <w:r w:rsidRPr="00ED0DDB">
        <w:rPr>
          <w:rFonts w:ascii="Times New Roman" w:hAnsi="Times New Roman" w:cs="Times New Roman"/>
          <w:sz w:val="24"/>
          <w:szCs w:val="24"/>
        </w:rPr>
        <w:tab/>
        <w:t>Доля субъектов малого и среднего предпринимательства</w:t>
      </w:r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>2.</w:t>
      </w:r>
      <w:r w:rsidRPr="00ED0DDB">
        <w:rPr>
          <w:rFonts w:ascii="Times New Roman" w:hAnsi="Times New Roman" w:cs="Times New Roman"/>
          <w:sz w:val="24"/>
          <w:szCs w:val="24"/>
        </w:rPr>
        <w:tab/>
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организаций.</w:t>
      </w:r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>3.</w:t>
      </w:r>
      <w:r w:rsidRPr="00ED0DDB">
        <w:rPr>
          <w:rFonts w:ascii="Times New Roman" w:hAnsi="Times New Roman" w:cs="Times New Roman"/>
          <w:sz w:val="24"/>
          <w:szCs w:val="24"/>
        </w:rPr>
        <w:tab/>
        <w:t>Доля площади земельных участков, являющихся объектами налогообложения земельным налогом, в общей площади территории муниципального округа</w:t>
      </w:r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>4.</w:t>
      </w:r>
      <w:r w:rsidRPr="00ED0DDB">
        <w:rPr>
          <w:rFonts w:ascii="Times New Roman" w:hAnsi="Times New Roman" w:cs="Times New Roman"/>
          <w:sz w:val="24"/>
          <w:szCs w:val="24"/>
        </w:rPr>
        <w:tab/>
        <w:t>Расходы бюджета муниципального образования на общее образование в расчете на 1 обучающегося в муниципальных общеобразовательных учреждениях</w:t>
      </w:r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Pr="00ED0DDB">
        <w:rPr>
          <w:rFonts w:ascii="Times New Roman" w:hAnsi="Times New Roman" w:cs="Times New Roman"/>
          <w:sz w:val="24"/>
          <w:szCs w:val="24"/>
        </w:rPr>
        <w:tab/>
        <w:t>Площадь всех жилых помещений в жилых домах и нежилых зданиях в муниципальном округе, введенных в установленном порядке в эксплуатацию и построенных населением в отчетном году</w:t>
      </w:r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>6.</w:t>
      </w:r>
      <w:r w:rsidRPr="00ED0DDB">
        <w:rPr>
          <w:rFonts w:ascii="Times New Roman" w:hAnsi="Times New Roman" w:cs="Times New Roman"/>
          <w:sz w:val="24"/>
          <w:szCs w:val="24"/>
        </w:rPr>
        <w:tab/>
        <w:t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</w:r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>7.</w:t>
      </w:r>
      <w:r w:rsidRPr="00ED0DDB">
        <w:rPr>
          <w:rFonts w:ascii="Times New Roman" w:hAnsi="Times New Roman" w:cs="Times New Roman"/>
          <w:sz w:val="24"/>
          <w:szCs w:val="24"/>
        </w:rPr>
        <w:tab/>
        <w:t>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</w:t>
      </w:r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>8.</w:t>
      </w:r>
      <w:r w:rsidRPr="00ED0DDB">
        <w:rPr>
          <w:rFonts w:ascii="Times New Roman" w:hAnsi="Times New Roman" w:cs="Times New Roman"/>
          <w:sz w:val="24"/>
          <w:szCs w:val="24"/>
        </w:rPr>
        <w:tab/>
        <w:t>Среднегодовая численность постоянного населения</w:t>
      </w:r>
    </w:p>
    <w:p w:rsidR="006D3A1B" w:rsidRPr="00ED0DDB" w:rsidRDefault="006D3A1B" w:rsidP="00F750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DDB">
        <w:rPr>
          <w:rFonts w:ascii="Times New Roman" w:hAnsi="Times New Roman" w:cs="Times New Roman"/>
          <w:sz w:val="24"/>
          <w:szCs w:val="24"/>
        </w:rPr>
        <w:t xml:space="preserve">В целом политика органов местного самоуправления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Пильнинского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округа основывается на решении социальных вопросов населения, повышении инвестиционной привлекательности округа, развитии социальной и инженерной инфраструктуры. Такая политика рассчитана на долгосрочный период, что позволяет планировать дальнейшее улучшение </w:t>
      </w:r>
      <w:proofErr w:type="gramStart"/>
      <w:r w:rsidRPr="00ED0DDB">
        <w:rPr>
          <w:rFonts w:ascii="Times New Roman" w:hAnsi="Times New Roman" w:cs="Times New Roman"/>
          <w:sz w:val="24"/>
          <w:szCs w:val="24"/>
        </w:rPr>
        <w:t>показателей эффективности деятельности органов местного самоуправления</w:t>
      </w:r>
      <w:proofErr w:type="gramEnd"/>
      <w:r w:rsidRPr="00ED0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Пильнинского</w:t>
      </w:r>
      <w:proofErr w:type="spellEnd"/>
      <w:r w:rsidRPr="00ED0DDB">
        <w:rPr>
          <w:rFonts w:ascii="Times New Roman" w:hAnsi="Times New Roman" w:cs="Times New Roman"/>
          <w:sz w:val="24"/>
          <w:szCs w:val="24"/>
        </w:rPr>
        <w:t xml:space="preserve"> округа.  </w:t>
      </w:r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3A1B" w:rsidRPr="00ED0DDB" w:rsidRDefault="006D3A1B" w:rsidP="00F750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5066" w:rsidRPr="00ED0DDB" w:rsidRDefault="00F75066" w:rsidP="00F750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главы администрации о</w:t>
      </w:r>
      <w:r w:rsidR="006D3A1B" w:rsidRPr="00ED0DDB">
        <w:rPr>
          <w:rFonts w:ascii="Times New Roman" w:hAnsi="Times New Roman" w:cs="Times New Roman"/>
          <w:sz w:val="24"/>
          <w:szCs w:val="24"/>
        </w:rPr>
        <w:t xml:space="preserve">круга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ED0DDB">
        <w:rPr>
          <w:rFonts w:ascii="Times New Roman" w:hAnsi="Times New Roman" w:cs="Times New Roman"/>
          <w:sz w:val="24"/>
          <w:szCs w:val="24"/>
        </w:rPr>
        <w:t xml:space="preserve">Д.Н. </w:t>
      </w:r>
      <w:proofErr w:type="spellStart"/>
      <w:r w:rsidRPr="00ED0DDB">
        <w:rPr>
          <w:rFonts w:ascii="Times New Roman" w:hAnsi="Times New Roman" w:cs="Times New Roman"/>
          <w:sz w:val="24"/>
          <w:szCs w:val="24"/>
        </w:rPr>
        <w:t>Цапин</w:t>
      </w:r>
      <w:proofErr w:type="spellEnd"/>
    </w:p>
    <w:p w:rsidR="006D3A1B" w:rsidRPr="00ED0DDB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5066" w:rsidRDefault="00F75066" w:rsidP="000B4088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75066" w:rsidRDefault="00F75066" w:rsidP="000B4088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75066" w:rsidRDefault="00F75066" w:rsidP="000B4088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75066" w:rsidRDefault="00F75066" w:rsidP="000B4088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75066" w:rsidRDefault="00F75066" w:rsidP="000B4088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75066" w:rsidRDefault="00F75066" w:rsidP="000B4088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75066" w:rsidRDefault="00F75066" w:rsidP="000B4088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75066" w:rsidRDefault="00F75066" w:rsidP="000B4088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75066" w:rsidRDefault="00F75066" w:rsidP="000B4088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75066" w:rsidRDefault="00F75066" w:rsidP="000B4088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75066" w:rsidRDefault="00F75066" w:rsidP="000B4088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75066" w:rsidRDefault="00F75066" w:rsidP="000B4088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75066" w:rsidRDefault="00F75066" w:rsidP="000B4088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75066" w:rsidRDefault="00F75066" w:rsidP="000B4088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75066" w:rsidRDefault="00F75066" w:rsidP="000B4088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75066" w:rsidRDefault="00F75066" w:rsidP="000B4088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75066" w:rsidRDefault="00F75066" w:rsidP="000B4088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F75066" w:rsidRDefault="00F75066" w:rsidP="000B4088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D3A1B" w:rsidRPr="00F75066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75066">
        <w:rPr>
          <w:rFonts w:ascii="Times New Roman" w:hAnsi="Times New Roman" w:cs="Times New Roman"/>
          <w:sz w:val="16"/>
          <w:szCs w:val="16"/>
        </w:rPr>
        <w:t>Исп. Исаев Р.Н.</w:t>
      </w:r>
    </w:p>
    <w:p w:rsidR="0050046B" w:rsidRPr="00F75066" w:rsidRDefault="006D3A1B" w:rsidP="000B4088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75066">
        <w:rPr>
          <w:rFonts w:ascii="Times New Roman" w:hAnsi="Times New Roman" w:cs="Times New Roman"/>
          <w:sz w:val="16"/>
          <w:szCs w:val="16"/>
        </w:rPr>
        <w:t>8(831 92) 5-11-86</w:t>
      </w:r>
    </w:p>
    <w:sectPr w:rsidR="0050046B" w:rsidRPr="00F75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D53"/>
    <w:rsid w:val="000B4088"/>
    <w:rsid w:val="001D1F5A"/>
    <w:rsid w:val="0050046B"/>
    <w:rsid w:val="005B03AF"/>
    <w:rsid w:val="006D3A1B"/>
    <w:rsid w:val="00DE1D53"/>
    <w:rsid w:val="00E2727C"/>
    <w:rsid w:val="00ED0DDB"/>
    <w:rsid w:val="00F7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18</Pages>
  <Words>6361</Words>
  <Characters>36260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 Р Н</dc:creator>
  <cp:keywords/>
  <dc:description/>
  <cp:lastModifiedBy>Исаев Р Н</cp:lastModifiedBy>
  <cp:revision>6</cp:revision>
  <dcterms:created xsi:type="dcterms:W3CDTF">2023-04-24T05:11:00Z</dcterms:created>
  <dcterms:modified xsi:type="dcterms:W3CDTF">2023-04-24T07:02:00Z</dcterms:modified>
</cp:coreProperties>
</file>